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8E0" w:rsidRPr="003D78E2" w:rsidRDefault="001C68E0" w:rsidP="00FA3AAC">
      <w:pPr>
        <w:pStyle w:val="Ttulo"/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57403E" w:rsidRPr="003D78E2" w:rsidRDefault="0057403E" w:rsidP="00FA3AAC">
      <w:pPr>
        <w:pStyle w:val="Ttulo"/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3D78E2">
        <w:rPr>
          <w:rFonts w:ascii="Arial" w:hAnsi="Arial" w:cs="Arial"/>
          <w:sz w:val="24"/>
          <w:szCs w:val="24"/>
        </w:rPr>
        <w:t>ANEXO 4</w:t>
      </w:r>
    </w:p>
    <w:p w:rsidR="0057403E" w:rsidRPr="003D78E2" w:rsidRDefault="0057403E" w:rsidP="00FA3AAC">
      <w:pPr>
        <w:pStyle w:val="Ttulo"/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3D78E2">
        <w:rPr>
          <w:rFonts w:ascii="Arial" w:hAnsi="Arial" w:cs="Arial"/>
          <w:sz w:val="24"/>
          <w:szCs w:val="24"/>
        </w:rPr>
        <w:t>SOLICITAÇÃO E PROVIMENTO DE INTERCONEXÃO</w:t>
      </w:r>
    </w:p>
    <w:p w:rsidR="0057403E" w:rsidRPr="003D78E2" w:rsidRDefault="0057403E" w:rsidP="00FA3AAC">
      <w:pPr>
        <w:pStyle w:val="Anexos"/>
        <w:tabs>
          <w:tab w:val="left" w:pos="284"/>
        </w:tabs>
        <w:spacing w:line="360" w:lineRule="auto"/>
        <w:rPr>
          <w:rFonts w:cs="Arial"/>
          <w:b/>
          <w:szCs w:val="24"/>
        </w:rPr>
      </w:pPr>
    </w:p>
    <w:p w:rsidR="0057403E" w:rsidRPr="003D78E2" w:rsidRDefault="0057403E" w:rsidP="00FA3AAC">
      <w:pPr>
        <w:pStyle w:val="Anexos"/>
        <w:tabs>
          <w:tab w:val="left" w:pos="284"/>
        </w:tabs>
        <w:spacing w:line="360" w:lineRule="auto"/>
        <w:rPr>
          <w:rFonts w:cs="Arial"/>
          <w:b/>
          <w:szCs w:val="24"/>
        </w:rPr>
      </w:pPr>
      <w:r w:rsidRPr="003D78E2">
        <w:rPr>
          <w:rFonts w:cs="Arial"/>
          <w:b/>
          <w:szCs w:val="24"/>
        </w:rPr>
        <w:t>1.</w:t>
      </w:r>
      <w:r w:rsidRPr="003D78E2">
        <w:rPr>
          <w:rFonts w:cs="Arial"/>
          <w:b/>
          <w:szCs w:val="24"/>
        </w:rPr>
        <w:tab/>
        <w:t>Disposições Gerais</w:t>
      </w:r>
    </w:p>
    <w:p w:rsidR="0057403E" w:rsidRPr="003D78E2" w:rsidRDefault="0057403E" w:rsidP="00FA3AAC">
      <w:pPr>
        <w:pStyle w:val="Anexos"/>
        <w:spacing w:line="360" w:lineRule="auto"/>
        <w:rPr>
          <w:rFonts w:cs="Arial"/>
          <w:b/>
          <w:szCs w:val="24"/>
        </w:rPr>
      </w:pPr>
    </w:p>
    <w:p w:rsidR="0057403E" w:rsidRPr="003D78E2" w:rsidRDefault="0057403E" w:rsidP="00FA3AAC">
      <w:pPr>
        <w:pStyle w:val="Anexos"/>
        <w:numPr>
          <w:ilvl w:val="1"/>
          <w:numId w:val="1"/>
        </w:numPr>
        <w:spacing w:line="360" w:lineRule="auto"/>
        <w:rPr>
          <w:rFonts w:cs="Arial"/>
          <w:szCs w:val="24"/>
        </w:rPr>
      </w:pPr>
      <w:r w:rsidRPr="003D78E2">
        <w:rPr>
          <w:rFonts w:cs="Arial"/>
          <w:szCs w:val="24"/>
        </w:rPr>
        <w:t xml:space="preserve">Qualquer das Partes poderá, na forma da regulamentação pertinente, solicitar novas Interconexões utilizando o modelo do Apêndice A do presente Anexo. </w:t>
      </w:r>
    </w:p>
    <w:p w:rsidR="0057403E" w:rsidRPr="003D78E2" w:rsidRDefault="0057403E" w:rsidP="00FA3AAC">
      <w:pPr>
        <w:pStyle w:val="Anexos"/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57403E" w:rsidRPr="003D78E2" w:rsidRDefault="0057403E" w:rsidP="00FA3AAC">
      <w:pPr>
        <w:pStyle w:val="Anexos"/>
        <w:numPr>
          <w:ilvl w:val="1"/>
          <w:numId w:val="1"/>
        </w:numPr>
        <w:spacing w:line="360" w:lineRule="auto"/>
        <w:rPr>
          <w:rFonts w:cs="Arial"/>
          <w:szCs w:val="24"/>
        </w:rPr>
      </w:pPr>
      <w:r w:rsidRPr="003D78E2">
        <w:rPr>
          <w:rFonts w:cs="Arial"/>
          <w:szCs w:val="24"/>
        </w:rPr>
        <w:t>Cada uma das Partes designará um Ponto Único de Contato (PUC) para recebimento e processamento das solicitações de Interconexão. O PUC terá autoridade e responsabilidade sobre o gerenciamento e manuseio eficientes dessas solicitações. Os PUC deverão ser oficialmente designados pelas Partes até 60 (sessenta) dias após a assinatura do contrato.</w:t>
      </w:r>
    </w:p>
    <w:p w:rsidR="0057403E" w:rsidRPr="003D78E2" w:rsidRDefault="0057403E" w:rsidP="00FA3AAC">
      <w:pPr>
        <w:pStyle w:val="Anexos"/>
        <w:spacing w:line="360" w:lineRule="auto"/>
        <w:rPr>
          <w:rFonts w:cs="Arial"/>
          <w:szCs w:val="24"/>
        </w:rPr>
      </w:pPr>
    </w:p>
    <w:p w:rsidR="0057403E" w:rsidRPr="003D78E2" w:rsidRDefault="0057403E" w:rsidP="00FA3AAC">
      <w:pPr>
        <w:pStyle w:val="Anexos"/>
        <w:numPr>
          <w:ilvl w:val="2"/>
          <w:numId w:val="1"/>
        </w:numPr>
        <w:tabs>
          <w:tab w:val="clear" w:pos="1288"/>
          <w:tab w:val="num" w:pos="1560"/>
        </w:tabs>
        <w:spacing w:line="360" w:lineRule="auto"/>
        <w:ind w:left="1560"/>
        <w:rPr>
          <w:rFonts w:cs="Arial"/>
          <w:szCs w:val="24"/>
        </w:rPr>
      </w:pPr>
      <w:r w:rsidRPr="003D78E2">
        <w:rPr>
          <w:rFonts w:cs="Arial"/>
          <w:szCs w:val="24"/>
        </w:rPr>
        <w:t>A não designação dos PUC não constituirá óbice para que as Partes encaminhem e processem as solicitações de Interconexão.</w:t>
      </w:r>
    </w:p>
    <w:p w:rsidR="0057403E" w:rsidRPr="003D78E2" w:rsidRDefault="0057403E" w:rsidP="00FA3AAC">
      <w:pPr>
        <w:pStyle w:val="Anexos"/>
        <w:spacing w:line="360" w:lineRule="auto"/>
        <w:rPr>
          <w:rFonts w:cs="Arial"/>
          <w:szCs w:val="24"/>
        </w:rPr>
      </w:pPr>
    </w:p>
    <w:p w:rsidR="0057403E" w:rsidRPr="003D78E2" w:rsidRDefault="0057403E" w:rsidP="0061637A">
      <w:pPr>
        <w:pStyle w:val="Anexos"/>
        <w:spacing w:line="360" w:lineRule="auto"/>
        <w:rPr>
          <w:rFonts w:cs="Arial"/>
          <w:b/>
          <w:szCs w:val="24"/>
        </w:rPr>
      </w:pPr>
      <w:r w:rsidRPr="003D78E2">
        <w:rPr>
          <w:rFonts w:cs="Arial"/>
          <w:b/>
          <w:szCs w:val="24"/>
        </w:rPr>
        <w:t>2.</w:t>
      </w:r>
      <w:r w:rsidRPr="003D78E2">
        <w:rPr>
          <w:rFonts w:cs="Arial"/>
          <w:b/>
          <w:szCs w:val="24"/>
        </w:rPr>
        <w:tab/>
        <w:t>Solicitação de Nova Interconexão</w:t>
      </w:r>
    </w:p>
    <w:p w:rsidR="0057403E" w:rsidRPr="003D78E2" w:rsidRDefault="0057403E" w:rsidP="00FA3AAC">
      <w:pPr>
        <w:pStyle w:val="Anexos"/>
        <w:tabs>
          <w:tab w:val="left" w:pos="284"/>
        </w:tabs>
        <w:spacing w:line="360" w:lineRule="auto"/>
        <w:rPr>
          <w:rFonts w:cs="Arial"/>
          <w:b/>
          <w:szCs w:val="24"/>
        </w:rPr>
      </w:pPr>
    </w:p>
    <w:p w:rsidR="0057403E" w:rsidRPr="003D78E2" w:rsidRDefault="0057403E" w:rsidP="00FA3AAC">
      <w:pPr>
        <w:pStyle w:val="Anexos"/>
        <w:numPr>
          <w:ilvl w:val="1"/>
          <w:numId w:val="4"/>
        </w:numPr>
        <w:tabs>
          <w:tab w:val="left" w:pos="284"/>
        </w:tabs>
        <w:spacing w:line="360" w:lineRule="auto"/>
        <w:rPr>
          <w:rFonts w:cs="Arial"/>
          <w:szCs w:val="24"/>
        </w:rPr>
      </w:pPr>
      <w:r w:rsidRPr="003D78E2">
        <w:rPr>
          <w:rFonts w:cs="Arial"/>
          <w:szCs w:val="24"/>
        </w:rPr>
        <w:t>Será considerada como Solicitação de Nova Interconexão, aquela destinada ao estabelecimento da interconexão do POI ou PPI de uma das Partes em uma determinada área local.</w:t>
      </w:r>
    </w:p>
    <w:p w:rsidR="0057403E" w:rsidRPr="003D78E2" w:rsidRDefault="004C72D9" w:rsidP="00FA3AAC">
      <w:pPr>
        <w:pStyle w:val="Anexos"/>
        <w:numPr>
          <w:ilvl w:val="1"/>
          <w:numId w:val="4"/>
        </w:numPr>
        <w:tabs>
          <w:tab w:val="left" w:pos="284"/>
        </w:tabs>
        <w:spacing w:before="240" w:line="360" w:lineRule="auto"/>
        <w:rPr>
          <w:rFonts w:cs="Arial"/>
          <w:szCs w:val="24"/>
        </w:rPr>
      </w:pPr>
      <w:r w:rsidRPr="003D78E2">
        <w:rPr>
          <w:rFonts w:cs="Arial"/>
          <w:szCs w:val="24"/>
        </w:rPr>
        <w:t xml:space="preserve">Novos Pontos de Interconexão </w:t>
      </w:r>
      <w:r w:rsidR="0057403E" w:rsidRPr="003D78E2">
        <w:rPr>
          <w:rFonts w:cs="Arial"/>
          <w:szCs w:val="24"/>
        </w:rPr>
        <w:t>poderão ser solicitadas nas reuniões de Planejamento Técnico Integrado, conforme disposto no Apêndice A do Anexo 5, ou em qualquer outra ocasião, em conformidade com os itens 2.2.1 e 2.2.2, abaixo:</w:t>
      </w:r>
    </w:p>
    <w:p w:rsidR="0057403E" w:rsidRPr="003D78E2" w:rsidRDefault="0057403E" w:rsidP="00FA3AAC">
      <w:pPr>
        <w:pStyle w:val="Anexos"/>
        <w:tabs>
          <w:tab w:val="left" w:pos="1560"/>
        </w:tabs>
        <w:spacing w:line="360" w:lineRule="auto"/>
        <w:ind w:left="1560" w:hanging="709"/>
        <w:rPr>
          <w:rFonts w:cs="Arial"/>
          <w:szCs w:val="24"/>
        </w:rPr>
      </w:pPr>
    </w:p>
    <w:p w:rsidR="0057403E" w:rsidRPr="006C61B9" w:rsidRDefault="00491FC5" w:rsidP="00FA3AAC">
      <w:pPr>
        <w:pStyle w:val="Anexos"/>
        <w:numPr>
          <w:ilvl w:val="2"/>
          <w:numId w:val="5"/>
        </w:numPr>
        <w:tabs>
          <w:tab w:val="clear" w:pos="720"/>
          <w:tab w:val="left" w:pos="1560"/>
        </w:tabs>
        <w:spacing w:line="360" w:lineRule="auto"/>
        <w:ind w:left="1560"/>
        <w:rPr>
          <w:rFonts w:cs="Arial"/>
          <w:szCs w:val="24"/>
        </w:rPr>
      </w:pPr>
      <w:r w:rsidRPr="006C61B9">
        <w:rPr>
          <w:rFonts w:cs="Arial"/>
          <w:szCs w:val="24"/>
        </w:rPr>
        <w:t xml:space="preserve">Em um prazo de 5 (cinco) dias úteis contados a partir do recebimento de uma solicitação de nova Interconexão, a Parte Solicitada confirmará, via Fax, através da Confirmação de Pedido, para a Parte Solicitante, o recebimento da </w:t>
      </w:r>
      <w:r w:rsidR="007B23B6" w:rsidRPr="006C61B9">
        <w:rPr>
          <w:rFonts w:cs="Arial"/>
          <w:szCs w:val="24"/>
        </w:rPr>
        <w:t>Solicitação</w:t>
      </w:r>
      <w:r w:rsidR="004C72D9" w:rsidRPr="006C61B9">
        <w:rPr>
          <w:rFonts w:cs="Arial"/>
          <w:szCs w:val="24"/>
        </w:rPr>
        <w:t xml:space="preserve"> </w:t>
      </w:r>
      <w:r w:rsidRPr="006C61B9">
        <w:rPr>
          <w:rFonts w:cs="Arial"/>
          <w:szCs w:val="24"/>
        </w:rPr>
        <w:t xml:space="preserve">em conformidade com o </w:t>
      </w:r>
      <w:r w:rsidRPr="006C61B9">
        <w:rPr>
          <w:rFonts w:cs="Arial"/>
          <w:szCs w:val="24"/>
        </w:rPr>
        <w:lastRenderedPageBreak/>
        <w:t xml:space="preserve">disposto no Regulamento Geral de Interconexão e os procedimentos e obrigações estabelecidos no presente contrato. </w:t>
      </w:r>
    </w:p>
    <w:p w:rsidR="0057403E" w:rsidRPr="003D78E2" w:rsidRDefault="0057403E" w:rsidP="00FA3AAC">
      <w:pPr>
        <w:pStyle w:val="Anexos"/>
        <w:tabs>
          <w:tab w:val="left" w:pos="1560"/>
        </w:tabs>
        <w:spacing w:line="360" w:lineRule="auto"/>
        <w:ind w:left="851"/>
        <w:rPr>
          <w:rFonts w:cs="Arial"/>
          <w:szCs w:val="24"/>
        </w:rPr>
      </w:pPr>
    </w:p>
    <w:p w:rsidR="0057403E" w:rsidRPr="003D78E2" w:rsidRDefault="0057403E" w:rsidP="00FA3AAC">
      <w:pPr>
        <w:pStyle w:val="Anexos"/>
        <w:numPr>
          <w:ilvl w:val="2"/>
          <w:numId w:val="5"/>
        </w:numPr>
        <w:tabs>
          <w:tab w:val="clear" w:pos="720"/>
        </w:tabs>
        <w:spacing w:line="360" w:lineRule="auto"/>
        <w:ind w:left="1418"/>
        <w:rPr>
          <w:rFonts w:cs="Arial"/>
          <w:szCs w:val="24"/>
        </w:rPr>
      </w:pPr>
      <w:r w:rsidRPr="003D78E2">
        <w:rPr>
          <w:rFonts w:cs="Arial"/>
          <w:szCs w:val="24"/>
        </w:rPr>
        <w:t>Em até 5 (cinco) dias úteis contados a partir do recebimento de uma solicitação de nova Interconexão, a Parte Solicitada marcará reunião, para até 10 (dez) dias úteis contados a partir do recebimento da solicitação, para iniciar entendimentos visando estabelecer o detalhamento técnico e elaboração do Projeto de Interconexão, conforme definido no Apêndice B do Anexo 5 e o cronograma de implantação da nova Interconexão.</w:t>
      </w:r>
    </w:p>
    <w:p w:rsidR="0057403E" w:rsidRPr="003D78E2" w:rsidRDefault="0057403E" w:rsidP="00FA3AAC">
      <w:pPr>
        <w:pStyle w:val="Anexos"/>
        <w:spacing w:line="360" w:lineRule="auto"/>
        <w:rPr>
          <w:rFonts w:cs="Arial"/>
          <w:szCs w:val="24"/>
        </w:rPr>
      </w:pPr>
    </w:p>
    <w:p w:rsidR="0057403E" w:rsidRPr="003D78E2" w:rsidRDefault="0057403E" w:rsidP="00FA3AAC">
      <w:pPr>
        <w:pStyle w:val="Anexos"/>
        <w:tabs>
          <w:tab w:val="left" w:pos="1560"/>
        </w:tabs>
        <w:spacing w:line="360" w:lineRule="auto"/>
        <w:rPr>
          <w:rFonts w:cs="Arial"/>
          <w:szCs w:val="24"/>
        </w:rPr>
      </w:pPr>
      <w:r w:rsidRPr="003D78E2">
        <w:rPr>
          <w:rFonts w:cs="Arial"/>
          <w:b/>
          <w:szCs w:val="24"/>
        </w:rPr>
        <w:t>3. Solicitação de Alteração de Interconexão</w:t>
      </w:r>
    </w:p>
    <w:p w:rsidR="0057403E" w:rsidRPr="003D78E2" w:rsidRDefault="0057403E" w:rsidP="00FA3AAC">
      <w:pPr>
        <w:pStyle w:val="Anexos"/>
        <w:tabs>
          <w:tab w:val="left" w:pos="1560"/>
        </w:tabs>
        <w:spacing w:line="360" w:lineRule="auto"/>
        <w:rPr>
          <w:rFonts w:cs="Arial"/>
          <w:szCs w:val="24"/>
        </w:rPr>
      </w:pPr>
    </w:p>
    <w:p w:rsidR="0057403E" w:rsidRPr="003D78E2" w:rsidRDefault="0057403E" w:rsidP="00FA3AAC">
      <w:pPr>
        <w:pStyle w:val="Anexos"/>
        <w:numPr>
          <w:ilvl w:val="1"/>
          <w:numId w:val="6"/>
        </w:numPr>
        <w:tabs>
          <w:tab w:val="clear" w:pos="990"/>
          <w:tab w:val="left" w:pos="851"/>
        </w:tabs>
        <w:spacing w:line="360" w:lineRule="auto"/>
        <w:ind w:left="851"/>
        <w:rPr>
          <w:rFonts w:cs="Arial"/>
          <w:szCs w:val="24"/>
        </w:rPr>
      </w:pPr>
      <w:r w:rsidRPr="003D78E2">
        <w:rPr>
          <w:rFonts w:cs="Arial"/>
          <w:szCs w:val="24"/>
        </w:rPr>
        <w:t>As Partes acordam que as solicitações de alteração de Interconexões existentes, incluindo o cancelamento das mesmas, serão formuladas durante o processo de Planejamento Técnico Integrado, conforme estabelecido no Anexo 5 do presente contrato.</w:t>
      </w:r>
    </w:p>
    <w:p w:rsidR="0057403E" w:rsidRPr="003D78E2" w:rsidRDefault="0057403E" w:rsidP="00FA3AAC">
      <w:pPr>
        <w:pStyle w:val="Anexos"/>
        <w:spacing w:line="360" w:lineRule="auto"/>
        <w:ind w:left="1701" w:hanging="708"/>
        <w:rPr>
          <w:rFonts w:cs="Arial"/>
          <w:szCs w:val="24"/>
        </w:rPr>
      </w:pPr>
    </w:p>
    <w:p w:rsidR="0057403E" w:rsidRPr="003D78E2" w:rsidRDefault="0057403E" w:rsidP="00FA3AAC">
      <w:pPr>
        <w:pStyle w:val="Anexos"/>
        <w:tabs>
          <w:tab w:val="left" w:pos="2268"/>
        </w:tabs>
        <w:spacing w:line="360" w:lineRule="auto"/>
        <w:rPr>
          <w:rFonts w:cs="Arial"/>
          <w:b/>
          <w:szCs w:val="24"/>
        </w:rPr>
      </w:pPr>
      <w:r w:rsidRPr="003D78E2">
        <w:rPr>
          <w:rFonts w:cs="Arial"/>
          <w:b/>
          <w:szCs w:val="24"/>
        </w:rPr>
        <w:t>4. Procedimentos Relacionados às Interconexões</w:t>
      </w:r>
    </w:p>
    <w:p w:rsidR="0057403E" w:rsidRPr="003D78E2" w:rsidRDefault="0057403E" w:rsidP="00FA3AAC">
      <w:pPr>
        <w:pStyle w:val="Anexos"/>
        <w:tabs>
          <w:tab w:val="left" w:pos="1560"/>
        </w:tabs>
        <w:spacing w:line="360" w:lineRule="auto"/>
        <w:ind w:left="2268"/>
        <w:rPr>
          <w:rFonts w:cs="Arial"/>
          <w:szCs w:val="24"/>
        </w:rPr>
      </w:pPr>
    </w:p>
    <w:p w:rsidR="0057403E" w:rsidRPr="003D78E2" w:rsidRDefault="0057403E" w:rsidP="00FA3AAC">
      <w:pPr>
        <w:pStyle w:val="Anexos"/>
        <w:tabs>
          <w:tab w:val="left" w:pos="851"/>
        </w:tabs>
        <w:spacing w:line="360" w:lineRule="auto"/>
        <w:ind w:left="851" w:hanging="567"/>
        <w:rPr>
          <w:rFonts w:cs="Arial"/>
          <w:szCs w:val="24"/>
        </w:rPr>
      </w:pPr>
      <w:r w:rsidRPr="003D78E2">
        <w:rPr>
          <w:rFonts w:cs="Arial"/>
          <w:szCs w:val="24"/>
        </w:rPr>
        <w:t>4.1</w:t>
      </w:r>
      <w:r w:rsidRPr="003D78E2">
        <w:rPr>
          <w:rFonts w:cs="Arial"/>
          <w:szCs w:val="24"/>
        </w:rPr>
        <w:tab/>
        <w:t>As Partes definirão conjuntamente um método comum de identificação de circuito para que os mesmos possam ser identificados de forma eficaz.</w:t>
      </w:r>
    </w:p>
    <w:p w:rsidR="0057403E" w:rsidRPr="003D78E2" w:rsidRDefault="0057403E" w:rsidP="00FA3AAC">
      <w:pPr>
        <w:pStyle w:val="Anexos"/>
        <w:tabs>
          <w:tab w:val="left" w:pos="851"/>
        </w:tabs>
        <w:spacing w:line="360" w:lineRule="auto"/>
        <w:ind w:hanging="1276"/>
        <w:rPr>
          <w:rFonts w:cs="Arial"/>
          <w:szCs w:val="24"/>
        </w:rPr>
      </w:pPr>
    </w:p>
    <w:p w:rsidR="0057403E" w:rsidRPr="003D78E2" w:rsidRDefault="0057403E" w:rsidP="00FA3AAC">
      <w:pPr>
        <w:pStyle w:val="Anexos"/>
        <w:numPr>
          <w:ilvl w:val="1"/>
          <w:numId w:val="3"/>
        </w:numPr>
        <w:tabs>
          <w:tab w:val="clear" w:pos="1541"/>
          <w:tab w:val="left" w:pos="851"/>
        </w:tabs>
        <w:spacing w:line="360" w:lineRule="auto"/>
        <w:ind w:left="851" w:hanging="586"/>
        <w:rPr>
          <w:rFonts w:cs="Arial"/>
          <w:szCs w:val="24"/>
        </w:rPr>
      </w:pPr>
      <w:r w:rsidRPr="003D78E2">
        <w:rPr>
          <w:rFonts w:cs="Arial"/>
          <w:szCs w:val="24"/>
        </w:rPr>
        <w:t>As Partes acordam em discutir o desenvolvimento conjunto de uma interface eletrônica para o acompanhamento dos projetos de Interconexão, o processamento de solicitações de novas Interconexão e solicitações de alterações em Interconexões.</w:t>
      </w:r>
    </w:p>
    <w:p w:rsidR="00C2452A" w:rsidRPr="003D78E2" w:rsidRDefault="00C2452A" w:rsidP="00FA3AAC">
      <w:pPr>
        <w:pStyle w:val="Anexos"/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57403E" w:rsidRPr="003D78E2" w:rsidRDefault="0057403E" w:rsidP="00FA3AAC">
      <w:pPr>
        <w:pStyle w:val="Anexos"/>
        <w:tabs>
          <w:tab w:val="left" w:pos="284"/>
        </w:tabs>
        <w:spacing w:line="360" w:lineRule="auto"/>
        <w:rPr>
          <w:rFonts w:cs="Arial"/>
          <w:b/>
          <w:szCs w:val="24"/>
        </w:rPr>
      </w:pPr>
      <w:r w:rsidRPr="003D78E2">
        <w:rPr>
          <w:rFonts w:cs="Arial"/>
          <w:b/>
          <w:szCs w:val="24"/>
        </w:rPr>
        <w:t>5.</w:t>
      </w:r>
      <w:r w:rsidRPr="003D78E2">
        <w:rPr>
          <w:rFonts w:cs="Arial"/>
          <w:b/>
          <w:szCs w:val="24"/>
        </w:rPr>
        <w:tab/>
        <w:t>Provimento de Interconexão</w:t>
      </w:r>
    </w:p>
    <w:p w:rsidR="0057403E" w:rsidRPr="003D78E2" w:rsidRDefault="0057403E" w:rsidP="00FA3AAC">
      <w:pPr>
        <w:pStyle w:val="Anexos"/>
        <w:spacing w:line="360" w:lineRule="auto"/>
        <w:rPr>
          <w:rFonts w:cs="Arial"/>
          <w:szCs w:val="24"/>
        </w:rPr>
      </w:pPr>
    </w:p>
    <w:p w:rsidR="0057403E" w:rsidRPr="003D78E2" w:rsidRDefault="0057403E" w:rsidP="00FA3AAC">
      <w:pPr>
        <w:pStyle w:val="Anexos"/>
        <w:numPr>
          <w:ilvl w:val="1"/>
          <w:numId w:val="2"/>
        </w:numPr>
        <w:tabs>
          <w:tab w:val="clear" w:pos="644"/>
          <w:tab w:val="left" w:pos="851"/>
        </w:tabs>
        <w:spacing w:line="360" w:lineRule="auto"/>
        <w:ind w:left="851" w:hanging="567"/>
        <w:rPr>
          <w:rFonts w:cs="Arial"/>
          <w:szCs w:val="24"/>
        </w:rPr>
      </w:pPr>
      <w:r w:rsidRPr="003D78E2">
        <w:rPr>
          <w:rFonts w:cs="Arial"/>
          <w:szCs w:val="24"/>
        </w:rPr>
        <w:t>As Partes proverão as Interconexões dentro dos prazos mutuamente acordados.</w:t>
      </w:r>
    </w:p>
    <w:p w:rsidR="0057403E" w:rsidRPr="003D78E2" w:rsidRDefault="0057403E" w:rsidP="00FA3AAC">
      <w:pPr>
        <w:pStyle w:val="Anexos"/>
        <w:numPr>
          <w:ilvl w:val="2"/>
          <w:numId w:val="2"/>
        </w:numPr>
        <w:tabs>
          <w:tab w:val="clear" w:pos="1288"/>
          <w:tab w:val="left" w:pos="1560"/>
        </w:tabs>
        <w:spacing w:line="360" w:lineRule="auto"/>
        <w:ind w:left="1560"/>
        <w:rPr>
          <w:rFonts w:cs="Arial"/>
          <w:szCs w:val="24"/>
        </w:rPr>
      </w:pPr>
      <w:r w:rsidRPr="003D78E2">
        <w:rPr>
          <w:rFonts w:cs="Arial"/>
          <w:szCs w:val="24"/>
        </w:rPr>
        <w:t xml:space="preserve">Para as alterações de Interconexões existentes, respeitado o disposto </w:t>
      </w:r>
      <w:r w:rsidRPr="003D78E2">
        <w:rPr>
          <w:rFonts w:cs="Arial"/>
          <w:szCs w:val="24"/>
        </w:rPr>
        <w:lastRenderedPageBreak/>
        <w:t>no item 5.1 deste Anexo 4, as Partes deverão estabelecer as Interconexões, dentro dos prazos acordados nas reuniões de Planejamento Técnico Integrado, em conformidade com os procedimentos estabelecidos no Anexo 5.</w:t>
      </w:r>
    </w:p>
    <w:p w:rsidR="0057403E" w:rsidRPr="003D78E2" w:rsidRDefault="0057403E" w:rsidP="00FA3AAC">
      <w:pPr>
        <w:pStyle w:val="Anexos"/>
        <w:tabs>
          <w:tab w:val="left" w:pos="1560"/>
        </w:tabs>
        <w:spacing w:line="360" w:lineRule="auto"/>
        <w:ind w:left="840"/>
        <w:rPr>
          <w:rFonts w:cs="Arial"/>
          <w:szCs w:val="24"/>
        </w:rPr>
      </w:pPr>
    </w:p>
    <w:p w:rsidR="0057403E" w:rsidRPr="003D78E2" w:rsidRDefault="0057403E" w:rsidP="00FA3AAC">
      <w:pPr>
        <w:pStyle w:val="Anexos"/>
        <w:numPr>
          <w:ilvl w:val="2"/>
          <w:numId w:val="2"/>
        </w:numPr>
        <w:tabs>
          <w:tab w:val="clear" w:pos="1288"/>
          <w:tab w:val="left" w:pos="1560"/>
        </w:tabs>
        <w:spacing w:line="360" w:lineRule="auto"/>
        <w:ind w:left="1560"/>
        <w:rPr>
          <w:rFonts w:cs="Arial"/>
          <w:szCs w:val="24"/>
        </w:rPr>
      </w:pPr>
      <w:r w:rsidRPr="003D78E2">
        <w:rPr>
          <w:rFonts w:cs="Arial"/>
          <w:szCs w:val="24"/>
        </w:rPr>
        <w:t>No caso de uma das Partes não atender o prazo de fornecimento de facilidades de Interconexão, mutuamente acordado, estará sujeita a multa por atraso, conforme a Cláusula Nona do presente Contrato.</w:t>
      </w:r>
    </w:p>
    <w:p w:rsidR="0057403E" w:rsidRPr="003D78E2" w:rsidRDefault="0057403E" w:rsidP="00FA3AAC">
      <w:pPr>
        <w:pStyle w:val="Anexos"/>
        <w:tabs>
          <w:tab w:val="left" w:pos="1560"/>
        </w:tabs>
        <w:spacing w:line="360" w:lineRule="auto"/>
        <w:rPr>
          <w:rFonts w:cs="Arial"/>
          <w:szCs w:val="24"/>
        </w:rPr>
      </w:pPr>
    </w:p>
    <w:p w:rsidR="0057403E" w:rsidRPr="003D78E2" w:rsidRDefault="0057403E" w:rsidP="000A76E2">
      <w:pPr>
        <w:pStyle w:val="Anexos"/>
        <w:numPr>
          <w:ilvl w:val="3"/>
          <w:numId w:val="2"/>
        </w:numPr>
        <w:tabs>
          <w:tab w:val="clear" w:pos="1932"/>
        </w:tabs>
        <w:spacing w:line="360" w:lineRule="auto"/>
        <w:ind w:left="1701" w:firstLine="0"/>
        <w:rPr>
          <w:rFonts w:cs="Arial"/>
          <w:szCs w:val="24"/>
        </w:rPr>
      </w:pPr>
      <w:r w:rsidRPr="003D78E2">
        <w:rPr>
          <w:rFonts w:cs="Arial"/>
          <w:szCs w:val="24"/>
        </w:rPr>
        <w:t xml:space="preserve"> A Parte em atraso notificará a outra Parte sobre quaisquer atrasos e, quando possível, as Partes estabelecerão conjuntamente uma nova data para a implementação da Interconexão.</w:t>
      </w:r>
    </w:p>
    <w:p w:rsidR="0057403E" w:rsidRPr="003D78E2" w:rsidRDefault="0057403E" w:rsidP="000A76E2">
      <w:pPr>
        <w:pStyle w:val="Anexos"/>
        <w:numPr>
          <w:ilvl w:val="3"/>
          <w:numId w:val="2"/>
        </w:numPr>
        <w:tabs>
          <w:tab w:val="clear" w:pos="1932"/>
        </w:tabs>
        <w:spacing w:line="360" w:lineRule="auto"/>
        <w:ind w:left="1701" w:firstLine="0"/>
        <w:rPr>
          <w:rFonts w:cs="Arial"/>
          <w:szCs w:val="24"/>
        </w:rPr>
      </w:pPr>
      <w:r w:rsidRPr="003D78E2">
        <w:rPr>
          <w:rFonts w:cs="Arial"/>
          <w:szCs w:val="24"/>
        </w:rPr>
        <w:t xml:space="preserve"> O estabelecimento conjunto de uma nova data não isenta necessariamente a Parte em atraso das penalidades que possam ser aplicáveis devido ao atraso</w:t>
      </w:r>
      <w:r w:rsidR="00113C4C" w:rsidRPr="003D78E2">
        <w:rPr>
          <w:rFonts w:cs="Arial"/>
          <w:szCs w:val="24"/>
        </w:rPr>
        <w:t xml:space="preserve">. </w:t>
      </w:r>
    </w:p>
    <w:sectPr w:rsidR="0057403E" w:rsidRPr="003D78E2" w:rsidSect="00345C38">
      <w:headerReference w:type="default" r:id="rId7"/>
      <w:footerReference w:type="default" r:id="rId8"/>
      <w:pgSz w:w="11907" w:h="16840" w:code="9"/>
      <w:pgMar w:top="1701" w:right="1134" w:bottom="1134" w:left="1701" w:header="426" w:footer="25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1A9" w:rsidRDefault="000541A9">
      <w:r>
        <w:separator/>
      </w:r>
    </w:p>
  </w:endnote>
  <w:endnote w:type="continuationSeparator" w:id="0">
    <w:p w:rsidR="000541A9" w:rsidRDefault="00054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3C4C" w:rsidRPr="00F80096" w:rsidRDefault="00113C4C">
    <w:pPr>
      <w:pStyle w:val="Rodap"/>
      <w:jc w:val="center"/>
      <w:rPr>
        <w:rFonts w:cs="Arial"/>
        <w:szCs w:val="18"/>
      </w:rPr>
    </w:pPr>
    <w:r w:rsidRPr="00F80096">
      <w:rPr>
        <w:rFonts w:cs="Arial"/>
        <w:szCs w:val="18"/>
      </w:rPr>
      <w:t xml:space="preserve">Página </w:t>
    </w:r>
    <w:r w:rsidRPr="00F80096">
      <w:rPr>
        <w:rFonts w:cs="Arial"/>
        <w:bCs/>
        <w:szCs w:val="18"/>
      </w:rPr>
      <w:fldChar w:fldCharType="begin"/>
    </w:r>
    <w:r w:rsidRPr="00F80096">
      <w:rPr>
        <w:rFonts w:cs="Arial"/>
        <w:bCs/>
        <w:szCs w:val="18"/>
      </w:rPr>
      <w:instrText>PAGE</w:instrText>
    </w:r>
    <w:r w:rsidRPr="00F80096">
      <w:rPr>
        <w:rFonts w:cs="Arial"/>
        <w:bCs/>
        <w:szCs w:val="18"/>
      </w:rPr>
      <w:fldChar w:fldCharType="separate"/>
    </w:r>
    <w:r w:rsidR="00801169">
      <w:rPr>
        <w:rFonts w:cs="Arial"/>
        <w:bCs/>
        <w:noProof/>
        <w:szCs w:val="18"/>
      </w:rPr>
      <w:t>1</w:t>
    </w:r>
    <w:r w:rsidRPr="00F80096">
      <w:rPr>
        <w:rFonts w:cs="Arial"/>
        <w:bCs/>
        <w:szCs w:val="18"/>
      </w:rPr>
      <w:fldChar w:fldCharType="end"/>
    </w:r>
    <w:r w:rsidRPr="00F80096">
      <w:rPr>
        <w:rFonts w:cs="Arial"/>
        <w:szCs w:val="18"/>
      </w:rPr>
      <w:t xml:space="preserve"> de </w:t>
    </w:r>
    <w:r w:rsidRPr="00F80096">
      <w:rPr>
        <w:rFonts w:cs="Arial"/>
        <w:bCs/>
        <w:szCs w:val="18"/>
      </w:rPr>
      <w:fldChar w:fldCharType="begin"/>
    </w:r>
    <w:r w:rsidRPr="00F80096">
      <w:rPr>
        <w:rFonts w:cs="Arial"/>
        <w:bCs/>
        <w:szCs w:val="18"/>
      </w:rPr>
      <w:instrText>NUMPAGES</w:instrText>
    </w:r>
    <w:r w:rsidRPr="00F80096">
      <w:rPr>
        <w:rFonts w:cs="Arial"/>
        <w:bCs/>
        <w:szCs w:val="18"/>
      </w:rPr>
      <w:fldChar w:fldCharType="separate"/>
    </w:r>
    <w:r w:rsidR="00801169">
      <w:rPr>
        <w:rFonts w:cs="Arial"/>
        <w:bCs/>
        <w:noProof/>
        <w:szCs w:val="18"/>
      </w:rPr>
      <w:t>3</w:t>
    </w:r>
    <w:r w:rsidRPr="00F80096">
      <w:rPr>
        <w:rFonts w:cs="Arial"/>
        <w:bCs/>
        <w:szCs w:val="18"/>
      </w:rPr>
      <w:fldChar w:fldCharType="end"/>
    </w:r>
  </w:p>
  <w:p w:rsidR="00113C4C" w:rsidRDefault="00345C38">
    <w:pPr>
      <w:pStyle w:val="Rodap"/>
      <w:rPr>
        <w:noProof/>
        <w:snapToGrid w:val="0"/>
        <w:sz w:val="16"/>
      </w:rPr>
    </w:pPr>
    <w:r>
      <w:tab/>
    </w:r>
    <w:r>
      <w:tab/>
    </w:r>
  </w:p>
  <w:p w:rsidR="00177CC5" w:rsidRDefault="00177CC5">
    <w:pPr>
      <w:pStyle w:val="Rodap"/>
      <w:rPr>
        <w:noProof/>
        <w:snapToGrid w:val="0"/>
        <w:sz w:val="16"/>
      </w:rPr>
    </w:pPr>
  </w:p>
  <w:p w:rsidR="00177CC5" w:rsidRDefault="00177CC5">
    <w:pPr>
      <w:pStyle w:val="Rodap"/>
      <w:rPr>
        <w:noProof/>
        <w:snapToGrid w:val="0"/>
        <w:sz w:val="16"/>
      </w:rPr>
    </w:pPr>
  </w:p>
  <w:p w:rsidR="00177CC5" w:rsidRDefault="00177CC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1A9" w:rsidRDefault="000541A9">
      <w:r>
        <w:separator/>
      </w:r>
    </w:p>
  </w:footnote>
  <w:footnote w:type="continuationSeparator" w:id="0">
    <w:p w:rsidR="000541A9" w:rsidRDefault="00054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B35" w:rsidRDefault="00D91B35" w:rsidP="004C72D9">
    <w:pPr>
      <w:pStyle w:val="Cabealho"/>
      <w:pBdr>
        <w:bottom w:val="single" w:sz="4" w:space="11" w:color="auto"/>
      </w:pBdr>
      <w:rPr>
        <w:noProof/>
        <w:snapToGrid/>
        <w:lang w:val="pt-BR"/>
      </w:rPr>
    </w:pPr>
  </w:p>
  <w:p w:rsidR="00744AF4" w:rsidRDefault="00345C38" w:rsidP="004C72D9">
    <w:pPr>
      <w:pStyle w:val="Cabealho"/>
      <w:pBdr>
        <w:bottom w:val="single" w:sz="4" w:space="11" w:color="auto"/>
      </w:pBdr>
      <w:rPr>
        <w:rFonts w:ascii="Arial" w:hAnsi="Arial" w:cs="Arial"/>
        <w:sz w:val="16"/>
        <w:lang w:val="pt-BR"/>
      </w:rPr>
    </w:pPr>
    <w:r>
      <w:rPr>
        <w:rFonts w:ascii="Arial" w:hAnsi="Arial" w:cs="Arial"/>
        <w:sz w:val="16"/>
        <w:lang w:val="pt-BR"/>
      </w:rPr>
      <w:tab/>
    </w:r>
    <w:r>
      <w:rPr>
        <w:rFonts w:ascii="Arial" w:hAnsi="Arial" w:cs="Arial"/>
        <w:sz w:val="16"/>
        <w:lang w:val="pt-BR"/>
      </w:rPr>
      <w:tab/>
    </w:r>
  </w:p>
  <w:p w:rsidR="003B3C26" w:rsidRPr="003D78E2" w:rsidRDefault="003B3C26" w:rsidP="007B23B6">
    <w:pPr>
      <w:pStyle w:val="Cabealho"/>
      <w:pBdr>
        <w:bottom w:val="single" w:sz="4" w:space="11" w:color="auto"/>
      </w:pBdr>
      <w:jc w:val="center"/>
      <w:rPr>
        <w:rFonts w:ascii="Times New Roman" w:hAnsi="Times New Roman"/>
        <w:sz w:val="16"/>
        <w:lang w:val="pt-BR"/>
      </w:rPr>
    </w:pPr>
    <w:r w:rsidRPr="003D78E2">
      <w:rPr>
        <w:rFonts w:ascii="Times New Roman" w:hAnsi="Times New Roman"/>
        <w:sz w:val="16"/>
        <w:lang w:val="pt-BR"/>
      </w:rPr>
      <w:t>ANEXO 4 AO CONTRATO DE INTERCONEXÃO</w:t>
    </w:r>
  </w:p>
  <w:p w:rsidR="003B3C26" w:rsidRPr="003D78E2" w:rsidRDefault="003D78E2" w:rsidP="003D78E2">
    <w:pPr>
      <w:pStyle w:val="Cabealho"/>
      <w:pBdr>
        <w:bottom w:val="single" w:sz="4" w:space="11" w:color="auto"/>
      </w:pBdr>
      <w:jc w:val="center"/>
      <w:rPr>
        <w:rFonts w:ascii="Times New Roman" w:hAnsi="Times New Roman"/>
        <w:sz w:val="16"/>
        <w:lang w:val="pt-BR"/>
      </w:rPr>
    </w:pPr>
    <w:r w:rsidRPr="003D78E2">
      <w:rPr>
        <w:rFonts w:ascii="Times New Roman" w:hAnsi="Times New Roman"/>
        <w:sz w:val="16"/>
        <w:lang w:val="pt-BR"/>
      </w:rPr>
      <w:t>PARA TRÁFEGO TELEFÔNICO ENTRE A ALGAR E TELE-XX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C061D"/>
    <w:multiLevelType w:val="multilevel"/>
    <w:tmpl w:val="7F5C86DE"/>
    <w:lvl w:ilvl="0">
      <w:start w:val="3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" w15:restartNumberingAfterBreak="0">
    <w:nsid w:val="0F560403"/>
    <w:multiLevelType w:val="multilevel"/>
    <w:tmpl w:val="18969C8E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71379AE"/>
    <w:multiLevelType w:val="multilevel"/>
    <w:tmpl w:val="D64E1C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3" w15:restartNumberingAfterBreak="0">
    <w:nsid w:val="1D1A128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DB93FB6"/>
    <w:multiLevelType w:val="multilevel"/>
    <w:tmpl w:val="E808FC6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5" w15:restartNumberingAfterBreak="0">
    <w:nsid w:val="2EE251D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4923F26"/>
    <w:multiLevelType w:val="multilevel"/>
    <w:tmpl w:val="99F4B11A"/>
    <w:lvl w:ilvl="0">
      <w:start w:val="4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41"/>
        </w:tabs>
        <w:ind w:left="1541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7" w15:restartNumberingAfterBreak="0">
    <w:nsid w:val="55D05A2E"/>
    <w:multiLevelType w:val="multilevel"/>
    <w:tmpl w:val="D8CA47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8" w15:restartNumberingAfterBreak="0">
    <w:nsid w:val="5A2F16C9"/>
    <w:multiLevelType w:val="multilevel"/>
    <w:tmpl w:val="06EA8714"/>
    <w:lvl w:ilvl="0">
      <w:start w:val="1"/>
      <w:numFmt w:val="decimal"/>
      <w:suff w:val="space"/>
      <w:lvlText w:val="%1."/>
      <w:lvlJc w:val="left"/>
      <w:pPr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77AB3FB4"/>
    <w:multiLevelType w:val="multilevel"/>
    <w:tmpl w:val="1B2E1850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qK/n2vbnd78ispy08AeyPJ+kftPHICcuGyr6AOU0BgOg4ui9VSWFw6RX1tEziPu0Jn/D9MCOhmd+oFUNzL+8fg==" w:salt="aqVwDnP8L9vjytIs6DKSF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553"/>
    <w:rsid w:val="000137E8"/>
    <w:rsid w:val="000253B2"/>
    <w:rsid w:val="000322F2"/>
    <w:rsid w:val="000541A9"/>
    <w:rsid w:val="00081CA2"/>
    <w:rsid w:val="000A76E2"/>
    <w:rsid w:val="00113C4C"/>
    <w:rsid w:val="00141354"/>
    <w:rsid w:val="00177CC5"/>
    <w:rsid w:val="001B06F3"/>
    <w:rsid w:val="001C2A56"/>
    <w:rsid w:val="001C68E0"/>
    <w:rsid w:val="001F232D"/>
    <w:rsid w:val="002106D5"/>
    <w:rsid w:val="002113F5"/>
    <w:rsid w:val="002D76D0"/>
    <w:rsid w:val="00304952"/>
    <w:rsid w:val="00345C38"/>
    <w:rsid w:val="00352DCC"/>
    <w:rsid w:val="003B1E4F"/>
    <w:rsid w:val="003B3C26"/>
    <w:rsid w:val="003D78E2"/>
    <w:rsid w:val="003E0681"/>
    <w:rsid w:val="00474DD7"/>
    <w:rsid w:val="00477226"/>
    <w:rsid w:val="00485EDC"/>
    <w:rsid w:val="00491FC5"/>
    <w:rsid w:val="00492DBA"/>
    <w:rsid w:val="004C72D9"/>
    <w:rsid w:val="004E554B"/>
    <w:rsid w:val="00502553"/>
    <w:rsid w:val="005067E6"/>
    <w:rsid w:val="0050763A"/>
    <w:rsid w:val="005100B3"/>
    <w:rsid w:val="0051582B"/>
    <w:rsid w:val="00553C25"/>
    <w:rsid w:val="0057403E"/>
    <w:rsid w:val="005A2824"/>
    <w:rsid w:val="0061637A"/>
    <w:rsid w:val="006C61B9"/>
    <w:rsid w:val="00713968"/>
    <w:rsid w:val="00744AF4"/>
    <w:rsid w:val="007739D3"/>
    <w:rsid w:val="007761A4"/>
    <w:rsid w:val="007A5266"/>
    <w:rsid w:val="007B23B6"/>
    <w:rsid w:val="007B472E"/>
    <w:rsid w:val="007B7D0C"/>
    <w:rsid w:val="007F1D4B"/>
    <w:rsid w:val="00801169"/>
    <w:rsid w:val="00821F1D"/>
    <w:rsid w:val="00822F2F"/>
    <w:rsid w:val="00834BA6"/>
    <w:rsid w:val="008468EB"/>
    <w:rsid w:val="008B6B25"/>
    <w:rsid w:val="009E30BD"/>
    <w:rsid w:val="00A03495"/>
    <w:rsid w:val="00A37DB3"/>
    <w:rsid w:val="00A608C6"/>
    <w:rsid w:val="00AC1FB2"/>
    <w:rsid w:val="00AD4366"/>
    <w:rsid w:val="00B20A26"/>
    <w:rsid w:val="00B4479C"/>
    <w:rsid w:val="00BC0A4F"/>
    <w:rsid w:val="00BD68A2"/>
    <w:rsid w:val="00C2452A"/>
    <w:rsid w:val="00C92C18"/>
    <w:rsid w:val="00D91B35"/>
    <w:rsid w:val="00E078EE"/>
    <w:rsid w:val="00E67A76"/>
    <w:rsid w:val="00EA6D0C"/>
    <w:rsid w:val="00F00EA7"/>
    <w:rsid w:val="00F33F81"/>
    <w:rsid w:val="00F80036"/>
    <w:rsid w:val="00F80096"/>
    <w:rsid w:val="00F96B14"/>
    <w:rsid w:val="00FA0C5F"/>
    <w:rsid w:val="00FA3AAC"/>
    <w:rsid w:val="00FB0ECF"/>
    <w:rsid w:val="00FD6550"/>
    <w:rsid w:val="00FE20C4"/>
    <w:rsid w:val="00FF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43784D8D-243B-4524-B8DA-B6084B183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keepLines/>
      <w:spacing w:before="480"/>
      <w:jc w:val="both"/>
      <w:outlineLvl w:val="0"/>
    </w:pPr>
    <w:rPr>
      <w:rFonts w:ascii="Arial" w:hAnsi="Arial"/>
      <w:b/>
      <w:caps/>
      <w:kern w:val="28"/>
      <w:sz w:val="22"/>
      <w:lang w:val="en-US"/>
    </w:rPr>
  </w:style>
  <w:style w:type="paragraph" w:styleId="Ttulo2">
    <w:name w:val="heading 2"/>
    <w:basedOn w:val="Normal"/>
    <w:next w:val="Normal"/>
    <w:qFormat/>
    <w:pPr>
      <w:spacing w:before="240"/>
      <w:jc w:val="both"/>
      <w:outlineLvl w:val="1"/>
    </w:pPr>
    <w:rPr>
      <w:rFonts w:ascii="Arial" w:hAnsi="Arial"/>
      <w:sz w:val="22"/>
    </w:rPr>
  </w:style>
  <w:style w:type="paragraph" w:styleId="Ttulo3">
    <w:name w:val="heading 3"/>
    <w:basedOn w:val="Normal"/>
    <w:next w:val="Normal"/>
    <w:qFormat/>
    <w:pPr>
      <w:tabs>
        <w:tab w:val="left" w:pos="1560"/>
      </w:tabs>
      <w:spacing w:before="240"/>
      <w:jc w:val="both"/>
      <w:outlineLvl w:val="2"/>
    </w:pPr>
    <w:rPr>
      <w:rFonts w:ascii="Arial" w:hAnsi="Arial"/>
      <w:sz w:val="22"/>
    </w:rPr>
  </w:style>
  <w:style w:type="paragraph" w:styleId="Ttulo4">
    <w:name w:val="heading 4"/>
    <w:basedOn w:val="Normal"/>
    <w:next w:val="Normal"/>
    <w:qFormat/>
    <w:pPr>
      <w:tabs>
        <w:tab w:val="left" w:pos="2552"/>
      </w:tabs>
      <w:spacing w:before="240"/>
      <w:jc w:val="both"/>
      <w:outlineLvl w:val="3"/>
    </w:pPr>
    <w:rPr>
      <w:rFonts w:ascii="Arial" w:hAnsi="Arial"/>
      <w:sz w:val="22"/>
    </w:rPr>
  </w:style>
  <w:style w:type="paragraph" w:styleId="Ttulo5">
    <w:name w:val="heading 5"/>
    <w:basedOn w:val="Normal"/>
    <w:next w:val="Normal"/>
    <w:qFormat/>
    <w:pPr>
      <w:spacing w:before="240" w:after="60"/>
      <w:jc w:val="both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qFormat/>
    <w:pPr>
      <w:keepNext/>
      <w:widowControl w:val="0"/>
      <w:spacing w:line="360" w:lineRule="auto"/>
      <w:jc w:val="center"/>
      <w:outlineLvl w:val="5"/>
    </w:pPr>
    <w:rPr>
      <w:rFonts w:ascii="Arial" w:hAnsi="Arial"/>
      <w:b/>
      <w:snapToGrid w:val="0"/>
      <w:color w:val="000000"/>
      <w:spacing w:val="20"/>
      <w:sz w:val="22"/>
    </w:rPr>
  </w:style>
  <w:style w:type="paragraph" w:styleId="Ttulo7">
    <w:name w:val="heading 7"/>
    <w:basedOn w:val="Normal"/>
    <w:next w:val="Normal"/>
    <w:qFormat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2"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pBdr>
        <w:top w:val="single" w:sz="4" w:space="1" w:color="auto"/>
      </w:pBdr>
      <w:tabs>
        <w:tab w:val="center" w:pos="4820"/>
        <w:tab w:val="right" w:pos="9469"/>
      </w:tabs>
      <w:jc w:val="both"/>
    </w:pPr>
    <w:rPr>
      <w:rFonts w:ascii="Arial" w:hAnsi="Arial"/>
      <w:sz w:val="18"/>
    </w:rPr>
  </w:style>
  <w:style w:type="paragraph" w:styleId="Cabealho">
    <w:name w:val="header"/>
    <w:basedOn w:val="Normal"/>
    <w:pPr>
      <w:widowControl w:val="0"/>
      <w:tabs>
        <w:tab w:val="center" w:pos="4320"/>
        <w:tab w:val="right" w:pos="8640"/>
      </w:tabs>
    </w:pPr>
    <w:rPr>
      <w:rFonts w:ascii="Book Antiqua" w:hAnsi="Book Antiqua"/>
      <w:snapToGrid w:val="0"/>
      <w:sz w:val="24"/>
      <w:lang w:val="en-US"/>
    </w:rPr>
  </w:style>
  <w:style w:type="paragraph" w:customStyle="1" w:styleId="Anexos">
    <w:name w:val="Anexos"/>
    <w:basedOn w:val="Normal"/>
    <w:pPr>
      <w:widowControl w:val="0"/>
      <w:jc w:val="both"/>
    </w:pPr>
    <w:rPr>
      <w:rFonts w:ascii="Arial" w:hAnsi="Arial"/>
      <w:snapToGrid w:val="0"/>
      <w:sz w:val="24"/>
    </w:rPr>
  </w:style>
  <w:style w:type="paragraph" w:customStyle="1" w:styleId="Anexos1">
    <w:name w:val="Anexos1"/>
    <w:basedOn w:val="Anexos"/>
    <w:pPr>
      <w:spacing w:line="360" w:lineRule="auto"/>
      <w:jc w:val="center"/>
    </w:pPr>
    <w:rPr>
      <w:b/>
      <w:sz w:val="28"/>
    </w:rPr>
  </w:style>
  <w:style w:type="character" w:styleId="Nmerodepgina">
    <w:name w:val="page number"/>
    <w:rPr>
      <w:rFonts w:ascii="Times New Roman" w:hAnsi="Times New Roman"/>
      <w:color w:val="auto"/>
      <w:sz w:val="20"/>
      <w:vertAlign w:val="baseline"/>
    </w:rPr>
  </w:style>
  <w:style w:type="character" w:styleId="Refdecomentrio">
    <w:name w:val="annotation reference"/>
    <w:semiHidden/>
    <w:rPr>
      <w:sz w:val="16"/>
    </w:rPr>
  </w:style>
  <w:style w:type="paragraph" w:styleId="Textodecomentrio">
    <w:name w:val="annotation text"/>
    <w:basedOn w:val="Normal"/>
    <w:semiHidden/>
  </w:style>
  <w:style w:type="character" w:styleId="Hyperlink">
    <w:name w:val="Hyperlink"/>
    <w:rPr>
      <w:color w:val="0000FF"/>
      <w:u w:val="single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tulo">
    <w:name w:val="Title"/>
    <w:basedOn w:val="Normal"/>
    <w:qFormat/>
    <w:rsid w:val="001C68E0"/>
    <w:pPr>
      <w:ind w:left="851" w:hanging="851"/>
      <w:jc w:val="center"/>
    </w:pPr>
    <w:rPr>
      <w:b/>
      <w:sz w:val="32"/>
    </w:rPr>
  </w:style>
  <w:style w:type="character" w:customStyle="1" w:styleId="RodapChar">
    <w:name w:val="Rodapé Char"/>
    <w:link w:val="Rodap"/>
    <w:uiPriority w:val="99"/>
    <w:rsid w:val="00113C4C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557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4</vt:lpstr>
    </vt:vector>
  </TitlesOfParts>
  <Company>Telefônica</Company>
  <LinksUpToDate>false</LinksUpToDate>
  <CharactersWithSpaces>3564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4</dc:title>
  <dc:creator>José carlos Cunha</dc:creator>
  <cp:lastModifiedBy>Claudia Cristina Ribeiro Macedo</cp:lastModifiedBy>
  <cp:revision>22</cp:revision>
  <cp:lastPrinted>2021-04-01T18:22:00Z</cp:lastPrinted>
  <dcterms:created xsi:type="dcterms:W3CDTF">2015-04-14T14:25:00Z</dcterms:created>
  <dcterms:modified xsi:type="dcterms:W3CDTF">2021-04-01T18:22:00Z</dcterms:modified>
</cp:coreProperties>
</file>