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968" w:rsidRPr="003F78EA" w:rsidRDefault="008D5968" w:rsidP="00956430">
      <w:pPr>
        <w:pStyle w:val="Anexos1"/>
        <w:outlineLvl w:val="0"/>
        <w:rPr>
          <w:rFonts w:cs="Arial"/>
          <w:sz w:val="24"/>
          <w:szCs w:val="24"/>
        </w:rPr>
      </w:pPr>
      <w:bookmarkStart w:id="0" w:name="_Toc430685685"/>
      <w:bookmarkStart w:id="1" w:name="_GoBack"/>
      <w:bookmarkEnd w:id="1"/>
    </w:p>
    <w:p w:rsidR="00A7777E" w:rsidRPr="003F78EA" w:rsidRDefault="00456110" w:rsidP="00956430">
      <w:pPr>
        <w:pStyle w:val="Anexos1"/>
        <w:outlineLvl w:val="0"/>
        <w:rPr>
          <w:rFonts w:cs="Arial"/>
          <w:sz w:val="24"/>
          <w:szCs w:val="24"/>
        </w:rPr>
      </w:pPr>
      <w:r w:rsidRPr="003F78EA">
        <w:rPr>
          <w:rFonts w:cs="Arial"/>
          <w:sz w:val="24"/>
          <w:szCs w:val="24"/>
        </w:rPr>
        <w:t xml:space="preserve"> </w:t>
      </w:r>
      <w:r w:rsidR="00A7777E" w:rsidRPr="003F78EA">
        <w:rPr>
          <w:rFonts w:cs="Arial"/>
          <w:sz w:val="24"/>
          <w:szCs w:val="24"/>
        </w:rPr>
        <w:t>ANEXO 7</w:t>
      </w:r>
    </w:p>
    <w:p w:rsidR="00F45F68" w:rsidRPr="003F78EA" w:rsidRDefault="00F45F68" w:rsidP="00956430">
      <w:pPr>
        <w:pStyle w:val="Anexos1"/>
        <w:outlineLvl w:val="0"/>
        <w:rPr>
          <w:rFonts w:cs="Arial"/>
          <w:sz w:val="24"/>
          <w:szCs w:val="24"/>
        </w:rPr>
      </w:pPr>
    </w:p>
    <w:p w:rsidR="00A7777E" w:rsidRPr="003F78EA" w:rsidRDefault="00AC5266" w:rsidP="00956430">
      <w:pPr>
        <w:pStyle w:val="Anexos1"/>
        <w:outlineLvl w:val="0"/>
        <w:rPr>
          <w:rFonts w:cs="Arial"/>
          <w:sz w:val="24"/>
          <w:szCs w:val="24"/>
        </w:rPr>
      </w:pPr>
      <w:r w:rsidRPr="003F78EA">
        <w:rPr>
          <w:rFonts w:cs="Arial"/>
          <w:sz w:val="24"/>
          <w:szCs w:val="24"/>
        </w:rPr>
        <w:t>DESEMPENHO, PROTEÇÃO E QUALIDADE DA REDE.</w:t>
      </w:r>
      <w:bookmarkEnd w:id="0"/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  <w:r w:rsidRPr="003F78EA">
        <w:rPr>
          <w:rFonts w:cs="Arial"/>
          <w:szCs w:val="24"/>
        </w:rPr>
        <w:t>1.</w:t>
      </w:r>
      <w:r w:rsidRPr="003F78EA">
        <w:rPr>
          <w:rFonts w:cs="Arial"/>
          <w:szCs w:val="24"/>
        </w:rPr>
        <w:tab/>
        <w:t>Disposições Gerais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1.1</w:t>
      </w:r>
      <w:r w:rsidRPr="003F78EA">
        <w:rPr>
          <w:rFonts w:cs="Arial"/>
          <w:szCs w:val="24"/>
        </w:rPr>
        <w:tab/>
        <w:t>As Partes reconhecem que é de seu interesse mútuo estabelecer padrões de desempenho e qualidade de rede para a interoperabilidade de suas redes. A partir da data da entrada em vigor desse Anexo, as Partes irão operar conforme as especificações listadas no Apêndice A do presente Anexo 7.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1.2</w:t>
      </w:r>
      <w:r w:rsidRPr="003F78EA">
        <w:rPr>
          <w:rFonts w:cs="Arial"/>
          <w:szCs w:val="24"/>
        </w:rPr>
        <w:tab/>
        <w:t>Para gerenciamento eficiente das interconexões, cada Parte fornecerá e manterá atualizada com cada Gerente de Contrato uma lista dos contatos relativos às atividades de planejamento, fornecimento e manutenção. Esta lista será fornecida pelas Partes para a outra em um prazo de até 30 (trinta) dias contados a partir da data da entrada em vigor do presente Anexo.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numPr>
          <w:ilvl w:val="1"/>
          <w:numId w:val="2"/>
        </w:numPr>
        <w:spacing w:line="360" w:lineRule="auto"/>
        <w:rPr>
          <w:rFonts w:cs="Arial"/>
          <w:szCs w:val="24"/>
        </w:rPr>
      </w:pPr>
      <w:r w:rsidRPr="003F78EA">
        <w:rPr>
          <w:rFonts w:cs="Arial"/>
          <w:szCs w:val="24"/>
        </w:rPr>
        <w:t>As Partes estabelecerão parâmetros para engenharia de tráfego, que deverão considerar variações diárias e os valores de picos de carga. As Partes acordam o padrão de grau de serviço de 1% (um por cento), de perdas nas rotas finais de interconexão a ser adotado durante o período de maior movimento.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numPr>
          <w:ilvl w:val="1"/>
          <w:numId w:val="12"/>
        </w:numPr>
        <w:tabs>
          <w:tab w:val="clear" w:pos="360"/>
        </w:tabs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As Partes acordam que as rotas diretas poderão ser projetadas como troncos de alto uso, e as rotas finais dimensionadas para um alto grau de serviço de 1% (um por cento).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2B7980" w:rsidP="002B7980">
      <w:pPr>
        <w:pStyle w:val="Anexos"/>
        <w:numPr>
          <w:ilvl w:val="1"/>
          <w:numId w:val="12"/>
        </w:numPr>
        <w:tabs>
          <w:tab w:val="clear" w:pos="360"/>
        </w:tabs>
        <w:spacing w:line="360" w:lineRule="auto"/>
        <w:ind w:left="567" w:hanging="567"/>
        <w:rPr>
          <w:rFonts w:cs="Arial"/>
          <w:szCs w:val="24"/>
        </w:rPr>
      </w:pPr>
      <w:r w:rsidRPr="003F78EA">
        <w:rPr>
          <w:rFonts w:cs="Arial"/>
          <w:szCs w:val="24"/>
        </w:rPr>
        <w:t xml:space="preserve"> </w:t>
      </w:r>
      <w:r w:rsidR="00A7777E" w:rsidRPr="003F78EA">
        <w:rPr>
          <w:rFonts w:cs="Arial"/>
          <w:szCs w:val="24"/>
        </w:rPr>
        <w:t>As Partes deverão atender às especificações técnicas relativas à sinalização, sincronismo,</w:t>
      </w:r>
      <w:r w:rsidR="00275C8E" w:rsidRPr="003F78EA">
        <w:rPr>
          <w:rFonts w:cs="Arial"/>
          <w:szCs w:val="24"/>
        </w:rPr>
        <w:t xml:space="preserve"> </w:t>
      </w:r>
      <w:r w:rsidR="00A7777E" w:rsidRPr="003F78EA">
        <w:rPr>
          <w:rFonts w:cs="Arial"/>
          <w:szCs w:val="24"/>
        </w:rPr>
        <w:t>transmissão, numeração e roteamento estabelecidas nas regulamentações da ANATEL, Ministério das Comunicações e padrões UIT para as redes públicas de Telecomunicações.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5C7548">
      <w:pPr>
        <w:pStyle w:val="Anexos"/>
        <w:numPr>
          <w:ilvl w:val="2"/>
          <w:numId w:val="12"/>
        </w:numPr>
        <w:tabs>
          <w:tab w:val="clear" w:pos="720"/>
        </w:tabs>
        <w:spacing w:line="360" w:lineRule="auto"/>
        <w:ind w:left="1276"/>
        <w:rPr>
          <w:rFonts w:cs="Arial"/>
          <w:szCs w:val="24"/>
        </w:rPr>
      </w:pPr>
      <w:r w:rsidRPr="003F78EA">
        <w:rPr>
          <w:rFonts w:cs="Arial"/>
          <w:szCs w:val="24"/>
        </w:rPr>
        <w:t xml:space="preserve"> As Partes, quando necessário, deverão rever as especificações referen</w:t>
      </w:r>
      <w:r w:rsidRPr="003F78EA">
        <w:rPr>
          <w:rFonts w:cs="Arial"/>
          <w:szCs w:val="24"/>
        </w:rPr>
        <w:lastRenderedPageBreak/>
        <w:t>ciadas no Apêndice A do presente Anexo, visando garantir o desempenho e qualidade adequados.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1.6</w:t>
      </w:r>
      <w:r w:rsidRPr="003F78EA">
        <w:rPr>
          <w:rFonts w:cs="Arial"/>
          <w:szCs w:val="24"/>
        </w:rPr>
        <w:tab/>
        <w:t>Cada Parte concorda em estabelecer para o tráfego cursado da outra Parte o mesmo padrão de qualidade adotado para o tráfego em sua rede ou de outras prestadoras, a menos que explicitamente acordado de outra forma com a outra Parte. Não haverá discriminação no desempenho e qualidade da rede tais como atraso pós-discagem, roteamento, prioridade de bloqueio de chamadas e restauração de interrupções dos serviços entre outros.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1.7</w:t>
      </w:r>
      <w:r w:rsidRPr="003F78EA">
        <w:rPr>
          <w:rFonts w:cs="Arial"/>
          <w:szCs w:val="24"/>
        </w:rPr>
        <w:tab/>
        <w:t>As Partes definirão mutuamente um processo de restauração de meios, que incluirá, no mínimo, as exigências de Desempenho e Qualidade constantes no Apêndice A, do presente Anexo.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1.8</w:t>
      </w:r>
      <w:r w:rsidRPr="003F78EA">
        <w:rPr>
          <w:rFonts w:cs="Arial"/>
          <w:szCs w:val="24"/>
        </w:rPr>
        <w:tab/>
        <w:t>As Partes acordam manter um esquema operacional de modo a atender e atuar nas solicitações pertinentes de manutenção durante 24 horas do dia, nos 7 dias da semana, para garantir um alto nível de confiabilidade na rede.</w:t>
      </w:r>
    </w:p>
    <w:p w:rsidR="00A7777E" w:rsidRPr="003F78EA" w:rsidRDefault="00A7777E" w:rsidP="00956430">
      <w:pPr>
        <w:pStyle w:val="Anexos"/>
        <w:spacing w:line="360" w:lineRule="auto"/>
        <w:rPr>
          <w:rFonts w:cs="Arial"/>
          <w:szCs w:val="24"/>
        </w:rPr>
      </w:pPr>
    </w:p>
    <w:p w:rsidR="00A7777E" w:rsidRPr="003F78EA" w:rsidRDefault="00A7777E" w:rsidP="002B7980">
      <w:pPr>
        <w:pStyle w:val="Anexos"/>
        <w:spacing w:before="120" w:line="360" w:lineRule="auto"/>
        <w:rPr>
          <w:rFonts w:cs="Arial"/>
          <w:szCs w:val="24"/>
        </w:rPr>
      </w:pPr>
      <w:r w:rsidRPr="003F78EA">
        <w:rPr>
          <w:rFonts w:cs="Arial"/>
          <w:szCs w:val="24"/>
        </w:rPr>
        <w:t xml:space="preserve">1.9 </w:t>
      </w:r>
      <w:r w:rsidR="002B7980" w:rsidRPr="003F78EA">
        <w:rPr>
          <w:rFonts w:cs="Arial"/>
          <w:szCs w:val="24"/>
        </w:rPr>
        <w:t xml:space="preserve">   </w:t>
      </w:r>
      <w:r w:rsidRPr="003F78EA">
        <w:rPr>
          <w:rFonts w:cs="Arial"/>
          <w:szCs w:val="24"/>
        </w:rPr>
        <w:t>As Partes acordam em estabelecer procedimentos de interrupção programada de serv</w:t>
      </w:r>
      <w:r w:rsidR="002B7980" w:rsidRPr="003F78EA">
        <w:rPr>
          <w:rFonts w:cs="Arial"/>
          <w:szCs w:val="24"/>
        </w:rPr>
        <w:t>i</w:t>
      </w:r>
      <w:r w:rsidRPr="003F78EA">
        <w:rPr>
          <w:rFonts w:cs="Arial"/>
          <w:szCs w:val="24"/>
        </w:rPr>
        <w:t>ços</w:t>
      </w:r>
      <w:r w:rsidR="002C1C94" w:rsidRPr="003F78EA">
        <w:rPr>
          <w:rFonts w:cs="Arial"/>
          <w:szCs w:val="24"/>
        </w:rPr>
        <w:t xml:space="preserve"> </w:t>
      </w:r>
      <w:r w:rsidRPr="003F78EA">
        <w:rPr>
          <w:rFonts w:cs="Arial"/>
          <w:szCs w:val="24"/>
        </w:rPr>
        <w:t xml:space="preserve">para realização de testes, manutenção e reparo das redes. Essas deverão ser programadas para o horário de baixo tráfego e comunicada formalmente com antecedência mínima de 72 (setenta e duas) </w:t>
      </w:r>
      <w:r w:rsidR="002A51AE" w:rsidRPr="003F78EA">
        <w:rPr>
          <w:rFonts w:cs="Arial"/>
          <w:szCs w:val="24"/>
        </w:rPr>
        <w:t>horas.</w:t>
      </w:r>
    </w:p>
    <w:p w:rsidR="00A7777E" w:rsidRPr="003F78EA" w:rsidRDefault="00A7777E" w:rsidP="00956430">
      <w:pPr>
        <w:pStyle w:val="Anexos"/>
        <w:spacing w:before="120" w:line="360" w:lineRule="auto"/>
        <w:ind w:left="1843" w:hanging="1123"/>
        <w:rPr>
          <w:rFonts w:cs="Arial"/>
          <w:szCs w:val="24"/>
        </w:rPr>
      </w:pPr>
      <w:r w:rsidRPr="003F78EA">
        <w:rPr>
          <w:rFonts w:cs="Arial"/>
          <w:szCs w:val="24"/>
        </w:rPr>
        <w:t>1.9.1 As comunicações deverão cursar entre os Pontos Únicos de Contato Técnico-Operacionais definidos pelas partes para tal fim, de acordo com o especificad</w:t>
      </w:r>
      <w:r w:rsidR="0063015D" w:rsidRPr="003F78EA">
        <w:rPr>
          <w:rFonts w:cs="Arial"/>
          <w:szCs w:val="24"/>
        </w:rPr>
        <w:t>o</w:t>
      </w:r>
      <w:r w:rsidRPr="003F78EA">
        <w:rPr>
          <w:rFonts w:cs="Arial"/>
          <w:szCs w:val="24"/>
        </w:rPr>
        <w:t xml:space="preserve"> no Anexo 8.</w:t>
      </w:r>
    </w:p>
    <w:p w:rsidR="00A7777E" w:rsidRPr="003F78EA" w:rsidRDefault="00A7777E" w:rsidP="00956430">
      <w:pPr>
        <w:pStyle w:val="Anexos"/>
        <w:spacing w:before="120" w:line="360" w:lineRule="auto"/>
        <w:rPr>
          <w:rFonts w:cs="Arial"/>
          <w:szCs w:val="24"/>
        </w:rPr>
      </w:pPr>
    </w:p>
    <w:p w:rsidR="00A7777E" w:rsidRPr="003F78EA" w:rsidRDefault="00A7777E" w:rsidP="00956430">
      <w:pPr>
        <w:pStyle w:val="Anexos"/>
        <w:spacing w:line="360" w:lineRule="auto"/>
        <w:ind w:left="709" w:hanging="709"/>
        <w:rPr>
          <w:rFonts w:cs="Arial"/>
          <w:szCs w:val="24"/>
        </w:rPr>
      </w:pPr>
      <w:r w:rsidRPr="003F78EA">
        <w:rPr>
          <w:rFonts w:cs="Arial"/>
          <w:szCs w:val="24"/>
        </w:rPr>
        <w:t>1.10</w:t>
      </w:r>
      <w:r w:rsidRPr="003F78EA">
        <w:rPr>
          <w:rFonts w:cs="Arial"/>
          <w:szCs w:val="24"/>
        </w:rPr>
        <w:tab/>
        <w:t>A interrupç</w:t>
      </w:r>
      <w:r w:rsidR="00711D4D" w:rsidRPr="003F78EA">
        <w:rPr>
          <w:rFonts w:cs="Arial"/>
          <w:szCs w:val="24"/>
        </w:rPr>
        <w:t>ão</w:t>
      </w:r>
      <w:r w:rsidRPr="003F78EA">
        <w:rPr>
          <w:rFonts w:cs="Arial"/>
          <w:szCs w:val="24"/>
        </w:rPr>
        <w:t xml:space="preserve"> do serviço por falhas de rede de qualquer tipo que venha a afetar mais de 10% do total de acessos </w:t>
      </w:r>
      <w:r w:rsidR="00B32727" w:rsidRPr="003F78EA">
        <w:rPr>
          <w:rFonts w:cs="Arial"/>
          <w:szCs w:val="24"/>
        </w:rPr>
        <w:t>ou mais de 50.000(</w:t>
      </w:r>
      <w:r w:rsidR="004269B6" w:rsidRPr="003F78EA">
        <w:rPr>
          <w:rFonts w:cs="Arial"/>
          <w:szCs w:val="24"/>
        </w:rPr>
        <w:t>cinquenta</w:t>
      </w:r>
      <w:r w:rsidR="00B32727" w:rsidRPr="003F78EA">
        <w:rPr>
          <w:rFonts w:cs="Arial"/>
          <w:szCs w:val="24"/>
        </w:rPr>
        <w:t xml:space="preserve"> mil) acessos da </w:t>
      </w:r>
      <w:r w:rsidRPr="003F78EA">
        <w:rPr>
          <w:rFonts w:cs="Arial"/>
          <w:szCs w:val="24"/>
        </w:rPr>
        <w:t>localidade</w:t>
      </w:r>
      <w:r w:rsidR="00B32727" w:rsidRPr="003F78EA">
        <w:rPr>
          <w:rFonts w:cs="Arial"/>
          <w:szCs w:val="24"/>
        </w:rPr>
        <w:t>, o que for menor, deve ser i</w:t>
      </w:r>
      <w:r w:rsidRPr="003F78EA">
        <w:rPr>
          <w:rFonts w:cs="Arial"/>
          <w:szCs w:val="24"/>
        </w:rPr>
        <w:t xml:space="preserve">nformadas, </w:t>
      </w:r>
      <w:r w:rsidR="00711D4D" w:rsidRPr="003F78EA">
        <w:rPr>
          <w:rFonts w:cs="Arial"/>
          <w:szCs w:val="24"/>
        </w:rPr>
        <w:t>em tempo real,</w:t>
      </w:r>
      <w:r w:rsidRPr="003F78EA">
        <w:rPr>
          <w:rFonts w:cs="Arial"/>
          <w:szCs w:val="24"/>
        </w:rPr>
        <w:t xml:space="preserve"> por conta da parte responsável pela operação e manutenção do equipamento que deu origem à falha, a todos os demais prestadores que possuam redes interconectadas à rede em falha, à ANATEL e </w:t>
      </w:r>
      <w:r w:rsidR="00711D4D" w:rsidRPr="003F78EA">
        <w:rPr>
          <w:rFonts w:cs="Arial"/>
          <w:szCs w:val="24"/>
        </w:rPr>
        <w:t xml:space="preserve">imediatamente </w:t>
      </w:r>
      <w:r w:rsidRPr="003F78EA">
        <w:rPr>
          <w:rFonts w:cs="Arial"/>
          <w:szCs w:val="24"/>
        </w:rPr>
        <w:t>ao público em geral</w:t>
      </w:r>
      <w:r w:rsidR="00711D4D" w:rsidRPr="003F78EA">
        <w:rPr>
          <w:rFonts w:cs="Arial"/>
          <w:szCs w:val="24"/>
        </w:rPr>
        <w:t xml:space="preserve">, </w:t>
      </w:r>
      <w:r w:rsidR="00711D4D" w:rsidRPr="003F78EA">
        <w:rPr>
          <w:rFonts w:cs="Arial"/>
          <w:szCs w:val="24"/>
        </w:rPr>
        <w:lastRenderedPageBreak/>
        <w:t>por meio dos principais veículos de comunicação disponíveis na região afetada.</w:t>
      </w:r>
    </w:p>
    <w:p w:rsidR="00A7777E" w:rsidRPr="003F78EA" w:rsidRDefault="00A7777E" w:rsidP="00C6513F">
      <w:pPr>
        <w:pStyle w:val="Anexos"/>
        <w:spacing w:line="360" w:lineRule="auto"/>
        <w:ind w:left="709" w:hanging="709"/>
        <w:rPr>
          <w:rFonts w:cs="Arial"/>
          <w:color w:val="000000"/>
          <w:szCs w:val="24"/>
        </w:rPr>
      </w:pPr>
      <w:r w:rsidRPr="003F78EA">
        <w:rPr>
          <w:rFonts w:cs="Arial"/>
          <w:szCs w:val="24"/>
        </w:rPr>
        <w:t xml:space="preserve">1.11 </w:t>
      </w:r>
      <w:r w:rsidR="002C1C94" w:rsidRPr="003F78EA">
        <w:rPr>
          <w:rFonts w:cs="Arial"/>
          <w:szCs w:val="24"/>
        </w:rPr>
        <w:t xml:space="preserve">  </w:t>
      </w:r>
      <w:r w:rsidRPr="003F78EA">
        <w:rPr>
          <w:rFonts w:cs="Arial"/>
          <w:szCs w:val="24"/>
        </w:rPr>
        <w:t>As Partes acordam que seus procedimentos de manutenção respeitarão, como condição mínima, as especificações de desempenho do fabricante do equipamento.</w:t>
      </w:r>
    </w:p>
    <w:sectPr w:rsidR="00A7777E" w:rsidRPr="003F78EA" w:rsidSect="00B940BD">
      <w:headerReference w:type="default" r:id="rId7"/>
      <w:footerReference w:type="default" r:id="rId8"/>
      <w:pgSz w:w="11907" w:h="16840" w:code="9"/>
      <w:pgMar w:top="1701" w:right="1134" w:bottom="1134" w:left="1701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92" w:rsidRDefault="00411C92">
      <w:r>
        <w:separator/>
      </w:r>
    </w:p>
  </w:endnote>
  <w:endnote w:type="continuationSeparator" w:id="0">
    <w:p w:rsidR="00411C92" w:rsidRDefault="00411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13F" w:rsidRPr="003F78EA" w:rsidRDefault="00C6513F">
    <w:pPr>
      <w:pStyle w:val="Rodap"/>
      <w:jc w:val="center"/>
      <w:rPr>
        <w:rFonts w:cs="Arial"/>
        <w:sz w:val="18"/>
        <w:szCs w:val="18"/>
      </w:rPr>
    </w:pPr>
    <w:r w:rsidRPr="003F78EA">
      <w:rPr>
        <w:rFonts w:cs="Arial"/>
        <w:sz w:val="18"/>
        <w:szCs w:val="18"/>
      </w:rPr>
      <w:t xml:space="preserve">Página </w:t>
    </w:r>
    <w:r w:rsidRPr="003F78EA">
      <w:rPr>
        <w:rFonts w:cs="Arial"/>
        <w:bCs/>
        <w:sz w:val="18"/>
        <w:szCs w:val="18"/>
      </w:rPr>
      <w:fldChar w:fldCharType="begin"/>
    </w:r>
    <w:r w:rsidRPr="003F78EA">
      <w:rPr>
        <w:rFonts w:cs="Arial"/>
        <w:bCs/>
        <w:sz w:val="18"/>
        <w:szCs w:val="18"/>
      </w:rPr>
      <w:instrText>PAGE</w:instrText>
    </w:r>
    <w:r w:rsidRPr="003F78EA">
      <w:rPr>
        <w:rFonts w:cs="Arial"/>
        <w:bCs/>
        <w:sz w:val="18"/>
        <w:szCs w:val="18"/>
      </w:rPr>
      <w:fldChar w:fldCharType="separate"/>
    </w:r>
    <w:r w:rsidR="00464373">
      <w:rPr>
        <w:rFonts w:cs="Arial"/>
        <w:bCs/>
        <w:noProof/>
        <w:sz w:val="18"/>
        <w:szCs w:val="18"/>
      </w:rPr>
      <w:t>1</w:t>
    </w:r>
    <w:r w:rsidRPr="003F78EA">
      <w:rPr>
        <w:rFonts w:cs="Arial"/>
        <w:bCs/>
        <w:sz w:val="18"/>
        <w:szCs w:val="18"/>
      </w:rPr>
      <w:fldChar w:fldCharType="end"/>
    </w:r>
    <w:r w:rsidRPr="003F78EA">
      <w:rPr>
        <w:rFonts w:cs="Arial"/>
        <w:sz w:val="18"/>
        <w:szCs w:val="18"/>
      </w:rPr>
      <w:t xml:space="preserve"> de </w:t>
    </w:r>
    <w:r w:rsidRPr="003F78EA">
      <w:rPr>
        <w:rFonts w:cs="Arial"/>
        <w:bCs/>
        <w:sz w:val="18"/>
        <w:szCs w:val="18"/>
      </w:rPr>
      <w:fldChar w:fldCharType="begin"/>
    </w:r>
    <w:r w:rsidRPr="003F78EA">
      <w:rPr>
        <w:rFonts w:cs="Arial"/>
        <w:bCs/>
        <w:sz w:val="18"/>
        <w:szCs w:val="18"/>
      </w:rPr>
      <w:instrText>NUMPAGES</w:instrText>
    </w:r>
    <w:r w:rsidRPr="003F78EA">
      <w:rPr>
        <w:rFonts w:cs="Arial"/>
        <w:bCs/>
        <w:sz w:val="18"/>
        <w:szCs w:val="18"/>
      </w:rPr>
      <w:fldChar w:fldCharType="separate"/>
    </w:r>
    <w:r w:rsidR="00464373">
      <w:rPr>
        <w:rFonts w:cs="Arial"/>
        <w:bCs/>
        <w:noProof/>
        <w:sz w:val="18"/>
        <w:szCs w:val="18"/>
      </w:rPr>
      <w:t>3</w:t>
    </w:r>
    <w:r w:rsidRPr="003F78EA">
      <w:rPr>
        <w:rFonts w:cs="Arial"/>
        <w:bCs/>
        <w:sz w:val="18"/>
        <w:szCs w:val="18"/>
      </w:rPr>
      <w:fldChar w:fldCharType="end"/>
    </w:r>
  </w:p>
  <w:p w:rsidR="00C6513F" w:rsidRDefault="00B940BD">
    <w:pPr>
      <w:pStyle w:val="Rodap"/>
      <w:rPr>
        <w:noProof/>
      </w:rPr>
    </w:pPr>
    <w:r>
      <w:tab/>
    </w:r>
    <w:r>
      <w:tab/>
    </w:r>
  </w:p>
  <w:p w:rsidR="00A52DB7" w:rsidRDefault="00A52DB7">
    <w:pPr>
      <w:pStyle w:val="Rodap"/>
      <w:rPr>
        <w:noProof/>
      </w:rPr>
    </w:pPr>
  </w:p>
  <w:p w:rsidR="00A52DB7" w:rsidRDefault="00A52DB7">
    <w:pPr>
      <w:pStyle w:val="Rodap"/>
      <w:rPr>
        <w:noProof/>
      </w:rPr>
    </w:pPr>
  </w:p>
  <w:p w:rsidR="00A52DB7" w:rsidRDefault="00A52DB7">
    <w:pPr>
      <w:pStyle w:val="Rodap"/>
      <w:rPr>
        <w:noProof/>
      </w:rPr>
    </w:pPr>
  </w:p>
  <w:p w:rsidR="00A52DB7" w:rsidRDefault="00A52DB7">
    <w:pPr>
      <w:pStyle w:val="Rodap"/>
      <w:rPr>
        <w:noProof/>
      </w:rPr>
    </w:pPr>
  </w:p>
  <w:p w:rsidR="00A52DB7" w:rsidRDefault="00A52DB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92" w:rsidRDefault="00411C92">
      <w:r>
        <w:separator/>
      </w:r>
    </w:p>
  </w:footnote>
  <w:footnote w:type="continuationSeparator" w:id="0">
    <w:p w:rsidR="00411C92" w:rsidRDefault="00411C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57A" w:rsidRDefault="00C4557A" w:rsidP="000E7D94">
    <w:pPr>
      <w:pStyle w:val="Cabealho"/>
      <w:pBdr>
        <w:bottom w:val="single" w:sz="4" w:space="1" w:color="auto"/>
      </w:pBdr>
      <w:rPr>
        <w:noProof/>
      </w:rPr>
    </w:pPr>
  </w:p>
  <w:p w:rsidR="00AC5266" w:rsidRDefault="00B940BD" w:rsidP="000E7D94">
    <w:pPr>
      <w:pStyle w:val="Cabealho"/>
      <w:pBdr>
        <w:bottom w:val="single" w:sz="4" w:space="1" w:color="auto"/>
      </w:pBdr>
      <w:rPr>
        <w:sz w:val="16"/>
      </w:rPr>
    </w:pPr>
    <w:r>
      <w:rPr>
        <w:sz w:val="16"/>
      </w:rPr>
      <w:tab/>
    </w:r>
    <w:r>
      <w:rPr>
        <w:sz w:val="16"/>
      </w:rPr>
      <w:tab/>
    </w:r>
  </w:p>
  <w:p w:rsidR="007649F4" w:rsidRPr="003F78EA" w:rsidRDefault="007649F4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  <w:r w:rsidRPr="004269B6">
      <w:rPr>
        <w:color w:val="FF0000"/>
        <w:sz w:val="16"/>
      </w:rPr>
      <w:t xml:space="preserve"> </w:t>
    </w:r>
    <w:r w:rsidRPr="003F78EA">
      <w:rPr>
        <w:rFonts w:ascii="Times New Roman" w:hAnsi="Times New Roman"/>
        <w:sz w:val="16"/>
      </w:rPr>
      <w:t xml:space="preserve">ANEXO 7 AO CONTRATO DE INTERCONEXÃO </w:t>
    </w:r>
  </w:p>
  <w:p w:rsidR="007649F4" w:rsidRPr="003F78EA" w:rsidRDefault="003F78EA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  <w:r w:rsidRPr="003F78EA">
      <w:rPr>
        <w:rFonts w:ascii="Times New Roman" w:hAnsi="Times New Roman"/>
        <w:sz w:val="16"/>
      </w:rPr>
      <w:t>PARA TRÁFEGO TELEFÔNICO ENTRE A ALGAR E TELE-XX</w:t>
    </w:r>
  </w:p>
  <w:p w:rsidR="00275C8E" w:rsidRPr="003F78EA" w:rsidRDefault="00275C8E" w:rsidP="00B27955">
    <w:pPr>
      <w:pStyle w:val="Cabealho"/>
      <w:pBdr>
        <w:bottom w:val="single" w:sz="4" w:space="1" w:color="auto"/>
      </w:pBdr>
      <w:jc w:val="center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E6F19"/>
    <w:multiLevelType w:val="singleLevel"/>
    <w:tmpl w:val="C734C82E"/>
    <w:lvl w:ilvl="0">
      <w:start w:val="6"/>
      <w:numFmt w:val="bullet"/>
      <w:lvlText w:val="–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" w15:restartNumberingAfterBreak="0">
    <w:nsid w:val="1192339D"/>
    <w:multiLevelType w:val="singleLevel"/>
    <w:tmpl w:val="F9921C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5DE2589"/>
    <w:multiLevelType w:val="hybridMultilevel"/>
    <w:tmpl w:val="43F0CE58"/>
    <w:lvl w:ilvl="0" w:tplc="0C7AF2BA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87BA9244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BB924FB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6D2CC89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0B8E38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455A196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CF6078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F58211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41EAC7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A1D1B55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CA3769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077DD9"/>
    <w:multiLevelType w:val="multilevel"/>
    <w:tmpl w:val="A01CBB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EAA08E7"/>
    <w:multiLevelType w:val="singleLevel"/>
    <w:tmpl w:val="591885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8" w15:restartNumberingAfterBreak="0">
    <w:nsid w:val="53BE58FE"/>
    <w:multiLevelType w:val="multilevel"/>
    <w:tmpl w:val="9EA47B42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5BDA0BBB"/>
    <w:multiLevelType w:val="singleLevel"/>
    <w:tmpl w:val="0416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5D037B61"/>
    <w:multiLevelType w:val="hybridMultilevel"/>
    <w:tmpl w:val="1892FE50"/>
    <w:lvl w:ilvl="0" w:tplc="64F236B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51C093C0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A13032CE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8C760202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744E66CA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B8DC5A80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788E56A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A64E710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EF24FF80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402656F"/>
    <w:multiLevelType w:val="hybridMultilevel"/>
    <w:tmpl w:val="4A725876"/>
    <w:lvl w:ilvl="0" w:tplc="881C00C4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</w:rPr>
    </w:lvl>
    <w:lvl w:ilvl="1" w:tplc="B09CE654" w:tentative="1">
      <w:start w:val="1"/>
      <w:numFmt w:val="lowerLetter"/>
      <w:lvlText w:val="%2."/>
      <w:lvlJc w:val="left"/>
      <w:pPr>
        <w:tabs>
          <w:tab w:val="num" w:pos="2325"/>
        </w:tabs>
        <w:ind w:left="2325" w:hanging="360"/>
      </w:pPr>
    </w:lvl>
    <w:lvl w:ilvl="2" w:tplc="B954590C" w:tentative="1">
      <w:start w:val="1"/>
      <w:numFmt w:val="lowerRoman"/>
      <w:lvlText w:val="%3."/>
      <w:lvlJc w:val="right"/>
      <w:pPr>
        <w:tabs>
          <w:tab w:val="num" w:pos="3045"/>
        </w:tabs>
        <w:ind w:left="3045" w:hanging="180"/>
      </w:pPr>
    </w:lvl>
    <w:lvl w:ilvl="3" w:tplc="B9A43B56" w:tentative="1">
      <w:start w:val="1"/>
      <w:numFmt w:val="decimal"/>
      <w:lvlText w:val="%4."/>
      <w:lvlJc w:val="left"/>
      <w:pPr>
        <w:tabs>
          <w:tab w:val="num" w:pos="3765"/>
        </w:tabs>
        <w:ind w:left="3765" w:hanging="360"/>
      </w:pPr>
    </w:lvl>
    <w:lvl w:ilvl="4" w:tplc="9E9A0EC0" w:tentative="1">
      <w:start w:val="1"/>
      <w:numFmt w:val="lowerLetter"/>
      <w:lvlText w:val="%5."/>
      <w:lvlJc w:val="left"/>
      <w:pPr>
        <w:tabs>
          <w:tab w:val="num" w:pos="4485"/>
        </w:tabs>
        <w:ind w:left="4485" w:hanging="360"/>
      </w:pPr>
    </w:lvl>
    <w:lvl w:ilvl="5" w:tplc="37F64742" w:tentative="1">
      <w:start w:val="1"/>
      <w:numFmt w:val="lowerRoman"/>
      <w:lvlText w:val="%6."/>
      <w:lvlJc w:val="right"/>
      <w:pPr>
        <w:tabs>
          <w:tab w:val="num" w:pos="5205"/>
        </w:tabs>
        <w:ind w:left="5205" w:hanging="180"/>
      </w:pPr>
    </w:lvl>
    <w:lvl w:ilvl="6" w:tplc="3606F644" w:tentative="1">
      <w:start w:val="1"/>
      <w:numFmt w:val="decimal"/>
      <w:lvlText w:val="%7."/>
      <w:lvlJc w:val="left"/>
      <w:pPr>
        <w:tabs>
          <w:tab w:val="num" w:pos="5925"/>
        </w:tabs>
        <w:ind w:left="5925" w:hanging="360"/>
      </w:pPr>
    </w:lvl>
    <w:lvl w:ilvl="7" w:tplc="1944A3C0" w:tentative="1">
      <w:start w:val="1"/>
      <w:numFmt w:val="lowerLetter"/>
      <w:lvlText w:val="%8."/>
      <w:lvlJc w:val="left"/>
      <w:pPr>
        <w:tabs>
          <w:tab w:val="num" w:pos="6645"/>
        </w:tabs>
        <w:ind w:left="6645" w:hanging="360"/>
      </w:pPr>
    </w:lvl>
    <w:lvl w:ilvl="8" w:tplc="ADEE1F98" w:tentative="1">
      <w:start w:val="1"/>
      <w:numFmt w:val="lowerRoman"/>
      <w:lvlText w:val="%9."/>
      <w:lvlJc w:val="right"/>
      <w:pPr>
        <w:tabs>
          <w:tab w:val="num" w:pos="7365"/>
        </w:tabs>
        <w:ind w:left="7365" w:hanging="180"/>
      </w:pPr>
    </w:lvl>
  </w:abstractNum>
  <w:abstractNum w:abstractNumId="12" w15:restartNumberingAfterBreak="0">
    <w:nsid w:val="6E9C1A16"/>
    <w:multiLevelType w:val="hybridMultilevel"/>
    <w:tmpl w:val="F34668C6"/>
    <w:lvl w:ilvl="0" w:tplc="1C2AF4D6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620E151A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690289A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E165C62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8F8EA8AE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A9665AE6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8D42A454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B8DE97E4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85E8AC6E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 w15:restartNumberingAfterBreak="0">
    <w:nsid w:val="789B2B64"/>
    <w:multiLevelType w:val="hybridMultilevel"/>
    <w:tmpl w:val="CED8C8A4"/>
    <w:lvl w:ilvl="0" w:tplc="05F25C08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F5346564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4E100EC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79BA4464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1E7CDD22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12BCF4E8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E8745A0A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94B6A694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1228EB36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7BD73E83"/>
    <w:multiLevelType w:val="multilevel"/>
    <w:tmpl w:val="E092DEA4"/>
    <w:lvl w:ilvl="0">
      <w:start w:val="1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698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2"/>
  </w:num>
  <w:num w:numId="4">
    <w:abstractNumId w:val="1"/>
  </w:num>
  <w:num w:numId="5">
    <w:abstractNumId w:val="14"/>
  </w:num>
  <w:num w:numId="6">
    <w:abstractNumId w:val="9"/>
  </w:num>
  <w:num w:numId="7">
    <w:abstractNumId w:val="3"/>
  </w:num>
  <w:num w:numId="8">
    <w:abstractNumId w:val="10"/>
  </w:num>
  <w:num w:numId="9">
    <w:abstractNumId w:val="12"/>
  </w:num>
  <w:num w:numId="10">
    <w:abstractNumId w:val="13"/>
  </w:num>
  <w:num w:numId="11">
    <w:abstractNumId w:val="11"/>
  </w:num>
  <w:num w:numId="12">
    <w:abstractNumId w:val="6"/>
  </w:num>
  <w:num w:numId="13">
    <w:abstractNumId w:val="4"/>
  </w:num>
  <w:num w:numId="14">
    <w:abstractNumId w:val="5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536mVt3W8SCzVRFNqw1O1AvPpg778zwAUen6CvRwdnwUmKqAadzns6D/zngQellBhljozG+NBUX88B6gnTnHDQ==" w:salt="WGXFj63tLln83BXNnBbE2w==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1E3"/>
    <w:rsid w:val="000C454C"/>
    <w:rsid w:val="000E7D94"/>
    <w:rsid w:val="001501C0"/>
    <w:rsid w:val="001F2ACF"/>
    <w:rsid w:val="00275C8E"/>
    <w:rsid w:val="00290523"/>
    <w:rsid w:val="002A51AE"/>
    <w:rsid w:val="002B7980"/>
    <w:rsid w:val="002C1C94"/>
    <w:rsid w:val="0031296F"/>
    <w:rsid w:val="003217CF"/>
    <w:rsid w:val="003770A4"/>
    <w:rsid w:val="003F78EA"/>
    <w:rsid w:val="00411C92"/>
    <w:rsid w:val="004269B6"/>
    <w:rsid w:val="00456110"/>
    <w:rsid w:val="00464373"/>
    <w:rsid w:val="004F67F8"/>
    <w:rsid w:val="00505A9B"/>
    <w:rsid w:val="0052417A"/>
    <w:rsid w:val="005448DD"/>
    <w:rsid w:val="00547E49"/>
    <w:rsid w:val="00564635"/>
    <w:rsid w:val="00585809"/>
    <w:rsid w:val="00594F37"/>
    <w:rsid w:val="005C37FA"/>
    <w:rsid w:val="005C7548"/>
    <w:rsid w:val="005D2395"/>
    <w:rsid w:val="0063015D"/>
    <w:rsid w:val="006C625C"/>
    <w:rsid w:val="00711D4D"/>
    <w:rsid w:val="007649F4"/>
    <w:rsid w:val="007D7182"/>
    <w:rsid w:val="008562CB"/>
    <w:rsid w:val="00861D17"/>
    <w:rsid w:val="008A7BB8"/>
    <w:rsid w:val="008D5968"/>
    <w:rsid w:val="008F4CB6"/>
    <w:rsid w:val="00956430"/>
    <w:rsid w:val="00983651"/>
    <w:rsid w:val="009A3160"/>
    <w:rsid w:val="00A52DB7"/>
    <w:rsid w:val="00A65E68"/>
    <w:rsid w:val="00A7777E"/>
    <w:rsid w:val="00A941B4"/>
    <w:rsid w:val="00AA2BC8"/>
    <w:rsid w:val="00AA4C4B"/>
    <w:rsid w:val="00AC5266"/>
    <w:rsid w:val="00B10AE2"/>
    <w:rsid w:val="00B25581"/>
    <w:rsid w:val="00B27955"/>
    <w:rsid w:val="00B32727"/>
    <w:rsid w:val="00B71CEE"/>
    <w:rsid w:val="00B940BD"/>
    <w:rsid w:val="00BA4DA6"/>
    <w:rsid w:val="00BB2659"/>
    <w:rsid w:val="00BB6E51"/>
    <w:rsid w:val="00C204F4"/>
    <w:rsid w:val="00C4557A"/>
    <w:rsid w:val="00C64648"/>
    <w:rsid w:val="00C6513F"/>
    <w:rsid w:val="00CE23FB"/>
    <w:rsid w:val="00CE5977"/>
    <w:rsid w:val="00D018FB"/>
    <w:rsid w:val="00DA4037"/>
    <w:rsid w:val="00E30F94"/>
    <w:rsid w:val="00E871E3"/>
    <w:rsid w:val="00E91CD6"/>
    <w:rsid w:val="00E9358F"/>
    <w:rsid w:val="00EB0E80"/>
    <w:rsid w:val="00ED5EA8"/>
    <w:rsid w:val="00F34096"/>
    <w:rsid w:val="00F40E82"/>
    <w:rsid w:val="00F45F68"/>
    <w:rsid w:val="00FE1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60A9622-004F-413B-AB2F-F7CD2CB00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8" w:space="1" w:color="auto"/>
      </w:pBdr>
      <w:tabs>
        <w:tab w:val="center" w:pos="4820"/>
        <w:tab w:val="right" w:pos="9498"/>
      </w:tabs>
      <w:jc w:val="both"/>
    </w:pPr>
    <w:rPr>
      <w:snapToGrid w:val="0"/>
      <w:sz w:val="16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</w:style>
  <w:style w:type="paragraph" w:styleId="Textodebalo">
    <w:name w:val="Balloon Text"/>
    <w:basedOn w:val="Normal"/>
    <w:semiHidden/>
    <w:rsid w:val="00E871E3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C6513F"/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565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7:</vt:lpstr>
    </vt:vector>
  </TitlesOfParts>
  <Company>Telefônica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7:</dc:title>
  <dc:creator>José carlos Cunha</dc:creator>
  <cp:lastModifiedBy>Claudia Cristina Ribeiro Macedo</cp:lastModifiedBy>
  <cp:revision>19</cp:revision>
  <cp:lastPrinted>2021-04-01T18:36:00Z</cp:lastPrinted>
  <dcterms:created xsi:type="dcterms:W3CDTF">2015-04-14T14:28:00Z</dcterms:created>
  <dcterms:modified xsi:type="dcterms:W3CDTF">2021-04-01T18:36:00Z</dcterms:modified>
</cp:coreProperties>
</file>