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A76" w:rsidRPr="003F7222" w:rsidRDefault="005F6A76" w:rsidP="00366C02">
      <w:pPr>
        <w:pStyle w:val="Anexos1"/>
        <w:tabs>
          <w:tab w:val="left" w:pos="6521"/>
        </w:tabs>
        <w:spacing w:line="240" w:lineRule="auto"/>
        <w:rPr>
          <w:rFonts w:cs="Arial"/>
          <w:sz w:val="24"/>
          <w:szCs w:val="24"/>
        </w:rPr>
      </w:pPr>
      <w:bookmarkStart w:id="0" w:name="_Toc429475020"/>
      <w:bookmarkStart w:id="1" w:name="_Toc430685674"/>
      <w:bookmarkStart w:id="2" w:name="_GoBack"/>
      <w:bookmarkEnd w:id="2"/>
    </w:p>
    <w:p w:rsidR="005F6A76" w:rsidRPr="003F7222" w:rsidRDefault="005F6A76" w:rsidP="004576F2">
      <w:pPr>
        <w:pStyle w:val="Anexos1"/>
        <w:spacing w:line="240" w:lineRule="auto"/>
        <w:rPr>
          <w:rFonts w:cs="Arial"/>
          <w:sz w:val="24"/>
          <w:szCs w:val="24"/>
        </w:rPr>
      </w:pPr>
      <w:r w:rsidRPr="003F7222">
        <w:rPr>
          <w:rFonts w:cs="Arial"/>
          <w:sz w:val="24"/>
          <w:szCs w:val="24"/>
        </w:rPr>
        <w:t>ANEXO 1</w:t>
      </w:r>
    </w:p>
    <w:p w:rsidR="005F6A76" w:rsidRPr="003F7222" w:rsidRDefault="005F6A76" w:rsidP="004576F2">
      <w:pPr>
        <w:pStyle w:val="Anexos1"/>
        <w:spacing w:line="240" w:lineRule="auto"/>
        <w:rPr>
          <w:rFonts w:cs="Arial"/>
          <w:sz w:val="24"/>
          <w:szCs w:val="24"/>
        </w:rPr>
      </w:pPr>
      <w:r w:rsidRPr="003F7222">
        <w:rPr>
          <w:rFonts w:cs="Arial"/>
          <w:sz w:val="24"/>
          <w:szCs w:val="24"/>
        </w:rPr>
        <w:t>DEFINIÇÕES</w:t>
      </w:r>
    </w:p>
    <w:p w:rsidR="00815ADF" w:rsidRPr="003F7222" w:rsidRDefault="00815ADF" w:rsidP="004576F2">
      <w:pPr>
        <w:pStyle w:val="Anexos1"/>
        <w:spacing w:line="240" w:lineRule="auto"/>
        <w:rPr>
          <w:rFonts w:cs="Arial"/>
          <w:b w:val="0"/>
          <w:sz w:val="24"/>
          <w:szCs w:val="24"/>
        </w:rPr>
      </w:pPr>
    </w:p>
    <w:p w:rsidR="00815ADF" w:rsidRPr="003F7222" w:rsidRDefault="00815ADF" w:rsidP="004576F2">
      <w:pPr>
        <w:pStyle w:val="Anexos1"/>
        <w:spacing w:line="240" w:lineRule="auto"/>
        <w:rPr>
          <w:rFonts w:cs="Arial"/>
          <w:b w:val="0"/>
          <w:sz w:val="24"/>
          <w:szCs w:val="24"/>
        </w:rPr>
      </w:pP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ind w:left="709" w:right="74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Área Local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: área geográfica contínua de prestação de </w:t>
      </w:r>
      <w:r w:rsidR="00094F25" w:rsidRPr="003F7222">
        <w:rPr>
          <w:rFonts w:ascii="Arial" w:hAnsi="Arial" w:cs="Arial"/>
          <w:sz w:val="24"/>
          <w:szCs w:val="24"/>
          <w:lang w:val="pt-BR"/>
        </w:rPr>
        <w:t>serviços,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 definida pela Agência, segundo critérios técnicos e econômicos, onde é prestado o STFC na modalidade local</w:t>
      </w:r>
      <w:r w:rsidRPr="003F7222">
        <w:rPr>
          <w:rFonts w:ascii="Arial" w:hAnsi="Arial" w:cs="Arial"/>
          <w:b/>
          <w:sz w:val="24"/>
          <w:szCs w:val="24"/>
          <w:lang w:val="pt-BR"/>
        </w:rPr>
        <w:t>.</w:t>
      </w:r>
    </w:p>
    <w:p w:rsidR="00815ADF" w:rsidRPr="003F7222" w:rsidRDefault="00815ADF" w:rsidP="00815ADF">
      <w:pPr>
        <w:ind w:left="709" w:right="74"/>
        <w:jc w:val="both"/>
        <w:rPr>
          <w:rFonts w:ascii="Arial" w:hAnsi="Arial" w:cs="Arial"/>
          <w:sz w:val="24"/>
          <w:szCs w:val="24"/>
          <w:lang w:val="pt-BR"/>
        </w:rPr>
      </w:pP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ind w:left="709" w:right="74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Bilhetagem Automática</w:t>
      </w:r>
      <w:r w:rsidRPr="003F7222">
        <w:rPr>
          <w:rFonts w:ascii="Arial" w:hAnsi="Arial" w:cs="Arial"/>
          <w:sz w:val="24"/>
          <w:szCs w:val="24"/>
          <w:lang w:val="pt-BR"/>
        </w:rPr>
        <w:t>: estrutura inerente à Tecnologia de Comutação responsável pelos dados de registro das chamadas.</w:t>
      </w:r>
    </w:p>
    <w:p w:rsidR="005F6A76" w:rsidRPr="003F7222" w:rsidRDefault="009B2F3A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4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Código de Seleção da Operadora (CSP)</w:t>
      </w:r>
      <w:r w:rsidRPr="003F7222">
        <w:rPr>
          <w:rFonts w:ascii="Arial" w:hAnsi="Arial" w:cs="Arial"/>
          <w:sz w:val="24"/>
          <w:szCs w:val="24"/>
          <w:lang w:val="pt-BR"/>
        </w:rPr>
        <w:t>: conjunto de caracteres numéricos que permite ao Usuário escolher a Prestadora do STFC de Longa Distância Nacional ou Longa Distância Internacional.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Código de Identificação de Operadora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: conjunto de caracteres numéricos ou alfanuméricos, estabelecido em Plano de Numeração, e vinculado de forma unívoca a um elemento de rede. 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 xml:space="preserve">Compartilhamento de </w:t>
      </w:r>
      <w:r w:rsidR="009B2F3A" w:rsidRPr="003F7222">
        <w:rPr>
          <w:rFonts w:ascii="Arial" w:hAnsi="Arial" w:cs="Arial"/>
          <w:b/>
          <w:sz w:val="24"/>
          <w:szCs w:val="24"/>
          <w:lang w:val="pt-BR"/>
        </w:rPr>
        <w:t>Infraestrutura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: compartilhamento de equipamentos, </w:t>
      </w:r>
      <w:r w:rsidR="009B2F3A" w:rsidRPr="003F7222">
        <w:rPr>
          <w:rFonts w:ascii="Arial" w:hAnsi="Arial" w:cs="Arial"/>
          <w:sz w:val="24"/>
          <w:szCs w:val="24"/>
          <w:lang w:val="pt-BR"/>
        </w:rPr>
        <w:t>infraestrutura</w:t>
      </w:r>
      <w:r w:rsidRPr="003F7222">
        <w:rPr>
          <w:rFonts w:ascii="Arial" w:hAnsi="Arial" w:cs="Arial"/>
          <w:sz w:val="24"/>
          <w:szCs w:val="24"/>
          <w:lang w:val="pt-BR"/>
        </w:rPr>
        <w:t>, facilidades e outros meios visando à implementação da interconexão entre as redes.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Contrato</w:t>
      </w:r>
      <w:r w:rsidRPr="003F7222">
        <w:rPr>
          <w:rFonts w:ascii="Arial" w:hAnsi="Arial" w:cs="Arial"/>
          <w:sz w:val="24"/>
          <w:szCs w:val="24"/>
          <w:lang w:val="pt-BR"/>
        </w:rPr>
        <w:t>: este instrumento, inclusive seus anexos, apêndices, cronogramas e eventuais aditivos que venham a ser firmados.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 xml:space="preserve">DETRAF: </w:t>
      </w:r>
      <w:r w:rsidRPr="003F7222">
        <w:rPr>
          <w:rFonts w:ascii="Arial" w:hAnsi="Arial" w:cs="Arial"/>
          <w:sz w:val="24"/>
          <w:szCs w:val="24"/>
          <w:lang w:val="pt-BR"/>
        </w:rPr>
        <w:t>Documento de Declaração de Tráfego e de Prestação de Serviços, no qual uma Parte explicita o que a outra Parte lhe deve pela utilização de sua rede.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Documento de Cobrança: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 DETRAF, ou mesmo qualquer outro documento emitido por uma das Partes definindo quantias, não pertinentes ao DETRAF, que lhe são devidas pela outra Parte.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Dia útil</w:t>
      </w:r>
      <w:r w:rsidRPr="003F7222">
        <w:rPr>
          <w:rFonts w:ascii="Arial" w:hAnsi="Arial" w:cs="Arial"/>
          <w:sz w:val="24"/>
          <w:szCs w:val="24"/>
          <w:lang w:val="pt-BR"/>
        </w:rPr>
        <w:t>: qualquer dia de funcionamento normal em repartições públicas, o que exclui sábados, domingos e feriados.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EILD</w:t>
      </w:r>
      <w:r w:rsidRPr="003F7222">
        <w:rPr>
          <w:rFonts w:ascii="Arial" w:hAnsi="Arial" w:cs="Arial"/>
          <w:sz w:val="24"/>
          <w:szCs w:val="24"/>
          <w:lang w:val="pt-BR"/>
        </w:rPr>
        <w:t>: Exploração Industrial por Linha Dedicada</w:t>
      </w:r>
      <w:r w:rsidRPr="003F7222">
        <w:rPr>
          <w:rFonts w:ascii="Arial" w:hAnsi="Arial" w:cs="Arial"/>
          <w:b/>
          <w:sz w:val="24"/>
          <w:szCs w:val="24"/>
          <w:lang w:val="pt-BR"/>
        </w:rPr>
        <w:t>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Elemento de Interconexão de Rede</w:t>
      </w:r>
      <w:r w:rsidRPr="003F7222">
        <w:rPr>
          <w:rFonts w:ascii="Arial" w:hAnsi="Arial" w:cs="Arial"/>
          <w:sz w:val="24"/>
          <w:szCs w:val="24"/>
          <w:lang w:val="pt-BR"/>
        </w:rPr>
        <w:t>: facilidade ou equipamento utilizado no provimento de serviços de telecomunicações.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Entidade Credora</w:t>
      </w:r>
      <w:r w:rsidRPr="003F7222">
        <w:rPr>
          <w:rFonts w:ascii="Arial" w:hAnsi="Arial" w:cs="Arial"/>
          <w:sz w:val="24"/>
          <w:szCs w:val="24"/>
          <w:lang w:val="pt-BR"/>
        </w:rPr>
        <w:t>: Entidade à qual é devido valor, pela Entidade Devedora, em função do uso de sua rede, na realização e completamento de uma chamada, ou</w:t>
      </w:r>
      <w:r w:rsidR="003B2D24" w:rsidRPr="003F7222">
        <w:rPr>
          <w:rFonts w:ascii="Arial" w:hAnsi="Arial" w:cs="Arial"/>
          <w:sz w:val="24"/>
          <w:szCs w:val="24"/>
          <w:lang w:val="pt-BR"/>
        </w:rPr>
        <w:t xml:space="preserve"> pelo compartilhamento de infra</w:t>
      </w:r>
      <w:r w:rsidRPr="003F7222">
        <w:rPr>
          <w:rFonts w:ascii="Arial" w:hAnsi="Arial" w:cs="Arial"/>
          <w:sz w:val="24"/>
          <w:szCs w:val="24"/>
          <w:lang w:val="pt-BR"/>
        </w:rPr>
        <w:t>estrutura.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Entidade Devedora</w:t>
      </w:r>
      <w:r w:rsidRPr="003F7222">
        <w:rPr>
          <w:rFonts w:ascii="Arial" w:hAnsi="Arial" w:cs="Arial"/>
          <w:sz w:val="24"/>
          <w:szCs w:val="24"/>
          <w:lang w:val="pt-BR"/>
        </w:rPr>
        <w:t>: Entidade que deve valor à Entidade Credora, pelo uso de sua rede na realização e completamento de uma chamada, ou</w:t>
      </w:r>
      <w:r w:rsidR="003B2D24" w:rsidRPr="003F7222">
        <w:rPr>
          <w:rFonts w:ascii="Arial" w:hAnsi="Arial" w:cs="Arial"/>
          <w:sz w:val="24"/>
          <w:szCs w:val="24"/>
          <w:lang w:val="pt-BR"/>
        </w:rPr>
        <w:t xml:space="preserve"> pelo compartilhamento de infra</w:t>
      </w:r>
      <w:r w:rsidRPr="003F7222">
        <w:rPr>
          <w:rFonts w:ascii="Arial" w:hAnsi="Arial" w:cs="Arial"/>
          <w:sz w:val="24"/>
          <w:szCs w:val="24"/>
          <w:lang w:val="pt-BR"/>
        </w:rPr>
        <w:t>estrutura.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lastRenderedPageBreak/>
        <w:t>Gerente de Contrato</w:t>
      </w:r>
      <w:r w:rsidRPr="003F7222">
        <w:rPr>
          <w:rFonts w:ascii="Arial" w:hAnsi="Arial" w:cs="Arial"/>
          <w:sz w:val="24"/>
          <w:szCs w:val="24"/>
          <w:lang w:val="pt-BR"/>
        </w:rPr>
        <w:t>: pessoa designada para representar uma das Partes na administração e gerência deste Contrato.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Horário Comercial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: qualquer horário entre </w:t>
      </w:r>
      <w:r w:rsidR="00094F25" w:rsidRPr="003F7222">
        <w:rPr>
          <w:rFonts w:ascii="Arial" w:hAnsi="Arial" w:cs="Arial"/>
          <w:sz w:val="24"/>
          <w:szCs w:val="24"/>
          <w:lang w:val="pt-BR"/>
        </w:rPr>
        <w:t>as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 08:00 e às 17:00 horas, horário do local em que a Parte receptora da notificação estiver estabelecida, conforme endereço informado pelas Partes.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Interconexão</w:t>
      </w:r>
      <w:r w:rsidRPr="003F7222">
        <w:rPr>
          <w:rFonts w:ascii="Arial" w:hAnsi="Arial" w:cs="Arial"/>
          <w:sz w:val="24"/>
          <w:szCs w:val="24"/>
          <w:lang w:val="pt-BR"/>
        </w:rPr>
        <w:t>: ligação entre redes de telecomunicações funcionalmente compatíveis, de modo que os usuários de serviços de uma das redes possam comunicar-se com usuários de serviços de outra, ou acessar serviços nela disponíveis.</w:t>
      </w:r>
      <w:r w:rsidR="00BE27FD" w:rsidRPr="003F7222">
        <w:rPr>
          <w:rFonts w:ascii="Arial" w:hAnsi="Arial" w:cs="Arial"/>
          <w:sz w:val="24"/>
          <w:szCs w:val="24"/>
          <w:lang w:val="pt-BR"/>
        </w:rPr>
        <w:t xml:space="preserve"> </w:t>
      </w:r>
    </w:p>
    <w:p w:rsidR="00BE27FD" w:rsidRPr="003F7222" w:rsidRDefault="00BE27FD" w:rsidP="00BE27FD">
      <w:pPr>
        <w:spacing w:before="240"/>
        <w:ind w:left="709" w:right="72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sz w:val="24"/>
          <w:szCs w:val="24"/>
          <w:lang w:val="pt-BR"/>
        </w:rPr>
        <w:t>16.1   Interconexão indireta: Interconexão realizada por meio de Operadora transportadora das chamadas (“Operadora transportadora”)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Interoperabilidade</w:t>
      </w:r>
      <w:r w:rsidRPr="003F7222">
        <w:rPr>
          <w:rFonts w:ascii="Arial" w:hAnsi="Arial" w:cs="Arial"/>
          <w:sz w:val="24"/>
          <w:szCs w:val="24"/>
          <w:lang w:val="pt-BR"/>
        </w:rPr>
        <w:t>: conjunto de características técnicas comuns que assegura o provimento de serviços através de redes de telecomunicações.</w:t>
      </w:r>
    </w:p>
    <w:p w:rsidR="0003472D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MTL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: Meios de Transmissão Local, utilizados para interligar Ponto de Interconexão ou Ponto de Presença de Interconexão de uma das Partes a Ponto de Interconexão ou Ponto de Presença de Interconexão da outra Parte em uma mesma área </w:t>
      </w:r>
      <w:r w:rsidR="00094F25" w:rsidRPr="003F7222">
        <w:rPr>
          <w:rFonts w:ascii="Arial" w:hAnsi="Arial" w:cs="Arial"/>
          <w:sz w:val="24"/>
          <w:szCs w:val="24"/>
          <w:lang w:val="pt-BR"/>
        </w:rPr>
        <w:t>local</w:t>
      </w:r>
      <w:r w:rsidR="0003472D" w:rsidRPr="003F7222">
        <w:rPr>
          <w:rFonts w:ascii="Arial" w:hAnsi="Arial" w:cs="Arial"/>
          <w:sz w:val="24"/>
          <w:szCs w:val="24"/>
          <w:lang w:val="pt-BR"/>
        </w:rPr>
        <w:t xml:space="preserve"> quando STFC ou área geográfica de mesmo Código Nacional (CN)</w:t>
      </w:r>
      <w:r w:rsidR="003D00CC" w:rsidRPr="003F7222">
        <w:rPr>
          <w:rFonts w:ascii="Arial" w:hAnsi="Arial" w:cs="Arial"/>
          <w:sz w:val="24"/>
          <w:szCs w:val="24"/>
          <w:lang w:val="pt-BR"/>
        </w:rPr>
        <w:t xml:space="preserve"> quando SMP</w:t>
      </w:r>
      <w:r w:rsidR="0003472D" w:rsidRPr="003F7222">
        <w:rPr>
          <w:rFonts w:ascii="Arial" w:hAnsi="Arial" w:cs="Arial"/>
          <w:sz w:val="24"/>
          <w:szCs w:val="24"/>
          <w:lang w:val="pt-BR"/>
        </w:rPr>
        <w:t>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Parte Solicitada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: Parte que recebe a Solicitação de Interconexão e ou de compartilhamento de </w:t>
      </w:r>
      <w:r w:rsidR="009B2F3A" w:rsidRPr="003F7222">
        <w:rPr>
          <w:rFonts w:ascii="Arial" w:hAnsi="Arial" w:cs="Arial"/>
          <w:sz w:val="24"/>
          <w:szCs w:val="24"/>
          <w:lang w:val="pt-BR"/>
        </w:rPr>
        <w:t>Infraestrutura</w:t>
      </w:r>
      <w:r w:rsidRPr="003F7222">
        <w:rPr>
          <w:rFonts w:ascii="Arial" w:hAnsi="Arial" w:cs="Arial"/>
          <w:sz w:val="24"/>
          <w:szCs w:val="24"/>
          <w:lang w:val="pt-BR"/>
        </w:rPr>
        <w:t>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Parte Solicitante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: Parte que solicita Interconexão e ou compartilhamento de </w:t>
      </w:r>
      <w:r w:rsidR="009B2F3A" w:rsidRPr="003F7222">
        <w:rPr>
          <w:rFonts w:ascii="Arial" w:hAnsi="Arial" w:cs="Arial"/>
          <w:sz w:val="24"/>
          <w:szCs w:val="24"/>
          <w:lang w:val="pt-BR"/>
        </w:rPr>
        <w:t>Infraestrutura</w:t>
      </w:r>
      <w:r w:rsidRPr="003F7222">
        <w:rPr>
          <w:rFonts w:ascii="Arial" w:hAnsi="Arial" w:cs="Arial"/>
          <w:sz w:val="24"/>
          <w:szCs w:val="24"/>
          <w:lang w:val="pt-BR"/>
        </w:rPr>
        <w:t>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Parte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: </w:t>
      </w:r>
      <w:r w:rsidR="003D00CC" w:rsidRPr="003F7222">
        <w:rPr>
          <w:rFonts w:ascii="Arial" w:hAnsi="Arial" w:cs="Arial"/>
          <w:sz w:val="24"/>
          <w:szCs w:val="24"/>
          <w:lang w:val="pt-BR"/>
        </w:rPr>
        <w:t xml:space="preserve">TELE XX 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ou a </w:t>
      </w:r>
      <w:r w:rsidR="0024740C" w:rsidRPr="003F7222">
        <w:rPr>
          <w:rFonts w:ascii="Arial" w:hAnsi="Arial" w:cs="Arial"/>
          <w:sz w:val="24"/>
          <w:szCs w:val="24"/>
          <w:lang w:val="pt-BR"/>
        </w:rPr>
        <w:t>ALGAR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 TELECOM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Partes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: </w:t>
      </w:r>
      <w:r w:rsidR="003D00CC" w:rsidRPr="003F7222">
        <w:rPr>
          <w:rFonts w:ascii="Arial" w:hAnsi="Arial" w:cs="Arial"/>
          <w:sz w:val="24"/>
          <w:szCs w:val="24"/>
          <w:lang w:val="pt-BR"/>
        </w:rPr>
        <w:t>TELE XX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 e a </w:t>
      </w:r>
      <w:r w:rsidR="0024740C" w:rsidRPr="003F7222">
        <w:rPr>
          <w:rFonts w:ascii="Arial" w:hAnsi="Arial" w:cs="Arial"/>
          <w:sz w:val="24"/>
          <w:szCs w:val="24"/>
          <w:lang w:val="pt-BR"/>
        </w:rPr>
        <w:t>ALGAR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 TELECOM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Planejamento Técnico Integrado (PTI)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: planejamento técnico que tem como objetivo identificar, dimensionar e especificar as rotas de interconexão, tratar de assuntos relativos aos planos estruturais envolvendo as Redes da </w:t>
      </w:r>
      <w:r w:rsidR="003D00CC" w:rsidRPr="003F7222">
        <w:rPr>
          <w:rFonts w:ascii="Arial" w:hAnsi="Arial" w:cs="Arial"/>
          <w:sz w:val="24"/>
          <w:szCs w:val="24"/>
          <w:lang w:val="pt-BR"/>
        </w:rPr>
        <w:t>TELE XX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 e da </w:t>
      </w:r>
      <w:r w:rsidR="0024740C" w:rsidRPr="003F7222">
        <w:rPr>
          <w:rFonts w:ascii="Arial" w:hAnsi="Arial" w:cs="Arial"/>
          <w:sz w:val="24"/>
          <w:szCs w:val="24"/>
          <w:lang w:val="pt-BR"/>
        </w:rPr>
        <w:t>ALGAR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 TELECOM, bem como atingir e manter níveis adequados de serviço, otimizar o encaminhamento do tráfego e minimizar os custos envolvidos na interconexão.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Ponto de Interconexão (POI)</w:t>
      </w:r>
      <w:r w:rsidRPr="003F7222">
        <w:rPr>
          <w:rFonts w:ascii="Arial" w:hAnsi="Arial" w:cs="Arial"/>
          <w:sz w:val="24"/>
          <w:szCs w:val="24"/>
          <w:lang w:val="pt-BR"/>
        </w:rPr>
        <w:t>: elemento de rede empregado como ponto de entrada ou saída para o tráfego a ser cursado na interconexão com outra rede, constituindo o ponto de referência para definição dos deveres e obrigações de cada uma das partes envolvidas no contrato de interconexão.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Ponto de Presença de Interconexão (PPI)</w:t>
      </w:r>
      <w:r w:rsidRPr="003F7222">
        <w:rPr>
          <w:rFonts w:ascii="Arial" w:hAnsi="Arial" w:cs="Arial"/>
          <w:sz w:val="24"/>
          <w:szCs w:val="24"/>
          <w:lang w:val="pt-BR"/>
        </w:rPr>
        <w:t>: elemento de rede empregado como acesso remoto de um ponto de interconexão, tornando-se o ponto de referência para definição dos deveres e obrigações de cada uma das partes envolvidas no contrato de interconexão.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lastRenderedPageBreak/>
        <w:t>Solicitações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: padrões de solicitações, alterações de solicitações e cancelamentos de solicitações de Interconexão e de Compartilhamento de </w:t>
      </w:r>
      <w:r w:rsidR="009B2F3A" w:rsidRPr="003F7222">
        <w:rPr>
          <w:rFonts w:ascii="Arial" w:hAnsi="Arial" w:cs="Arial"/>
          <w:sz w:val="24"/>
          <w:szCs w:val="24"/>
          <w:lang w:val="pt-BR"/>
        </w:rPr>
        <w:t>Infraestrutura</w:t>
      </w:r>
      <w:r w:rsidRPr="003F7222">
        <w:rPr>
          <w:rFonts w:ascii="Arial" w:hAnsi="Arial" w:cs="Arial"/>
          <w:sz w:val="24"/>
          <w:szCs w:val="24"/>
          <w:lang w:val="pt-BR"/>
        </w:rPr>
        <w:t xml:space="preserve"> para interconexão.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STFC</w:t>
      </w:r>
      <w:r w:rsidRPr="003F7222">
        <w:rPr>
          <w:rFonts w:ascii="Arial" w:hAnsi="Arial" w:cs="Arial"/>
          <w:sz w:val="24"/>
          <w:szCs w:val="24"/>
          <w:lang w:val="pt-BR"/>
        </w:rPr>
        <w:t>: Serviço Telefônico Fixo Comutado.</w:t>
      </w:r>
    </w:p>
    <w:p w:rsidR="0003472D" w:rsidRPr="003F7222" w:rsidRDefault="0003472D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SMP</w:t>
      </w:r>
      <w:r w:rsidRPr="003F7222">
        <w:rPr>
          <w:rFonts w:ascii="Arial" w:hAnsi="Arial" w:cs="Arial"/>
          <w:sz w:val="24"/>
          <w:szCs w:val="24"/>
          <w:lang w:val="pt-BR"/>
        </w:rPr>
        <w:t>: Serviço Móvel Pessoal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Tarifa de Uso</w:t>
      </w:r>
      <w:r w:rsidRPr="003F7222">
        <w:rPr>
          <w:rFonts w:ascii="Arial" w:hAnsi="Arial" w:cs="Arial"/>
          <w:sz w:val="24"/>
          <w:szCs w:val="24"/>
          <w:lang w:val="pt-BR"/>
        </w:rPr>
        <w:t>: nome genérico que designa a Tarifa de Uso de Rede Local, a Tarifa de Uso de Rede Interurbana ou a Tarifa de Uso de Comutação.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Termo de Aceitação</w:t>
      </w:r>
      <w:r w:rsidRPr="003F7222">
        <w:rPr>
          <w:rFonts w:ascii="Arial" w:hAnsi="Arial" w:cs="Arial"/>
          <w:sz w:val="24"/>
          <w:szCs w:val="24"/>
          <w:lang w:val="pt-BR"/>
        </w:rPr>
        <w:t>: documento expedido pela Parte Solicitada à Parte Solicitante após a finalização conjunta dos testes relativos à Interconexão, expressando a aceitação da Interconexão.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Teste de Entroncamento</w:t>
      </w:r>
      <w:r w:rsidRPr="003F7222">
        <w:rPr>
          <w:rFonts w:ascii="Arial" w:hAnsi="Arial" w:cs="Arial"/>
          <w:sz w:val="24"/>
          <w:szCs w:val="24"/>
          <w:lang w:val="pt-BR"/>
        </w:rPr>
        <w:t>: procedimento pelo qual se objetiva verificar o funcionamento individual dos circuitos de interconexão e a sua correspondência sistêmica.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2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Teste de Sistema</w:t>
      </w:r>
      <w:r w:rsidRPr="003F7222">
        <w:rPr>
          <w:rFonts w:ascii="Arial" w:hAnsi="Arial" w:cs="Arial"/>
          <w:sz w:val="24"/>
          <w:szCs w:val="24"/>
          <w:lang w:val="pt-BR"/>
        </w:rPr>
        <w:t>: procedimento pelo qual se objetiva verificar as principais funções das centrais sob o ponto de vista de sinalização, encaminhamento, bilhetagem e interfuncionamento de redes.</w:t>
      </w:r>
    </w:p>
    <w:p w:rsidR="005F6A76" w:rsidRPr="003F7222" w:rsidRDefault="005F6A76" w:rsidP="00864CB4">
      <w:pPr>
        <w:numPr>
          <w:ilvl w:val="0"/>
          <w:numId w:val="33"/>
        </w:numPr>
        <w:tabs>
          <w:tab w:val="clear" w:pos="567"/>
          <w:tab w:val="num" w:pos="709"/>
        </w:tabs>
        <w:spacing w:before="240"/>
        <w:ind w:left="709" w:right="74" w:hanging="709"/>
        <w:jc w:val="both"/>
        <w:rPr>
          <w:rFonts w:ascii="Arial" w:hAnsi="Arial" w:cs="Arial"/>
          <w:sz w:val="24"/>
          <w:szCs w:val="24"/>
          <w:lang w:val="pt-BR"/>
        </w:rPr>
      </w:pPr>
      <w:r w:rsidRPr="003F7222">
        <w:rPr>
          <w:rFonts w:ascii="Arial" w:hAnsi="Arial" w:cs="Arial"/>
          <w:b/>
          <w:sz w:val="24"/>
          <w:szCs w:val="24"/>
          <w:lang w:val="pt-BR"/>
        </w:rPr>
        <w:t>Usuário</w:t>
      </w:r>
      <w:r w:rsidRPr="003F7222">
        <w:rPr>
          <w:rFonts w:ascii="Arial" w:hAnsi="Arial" w:cs="Arial"/>
          <w:sz w:val="24"/>
          <w:szCs w:val="24"/>
          <w:lang w:val="pt-BR"/>
        </w:rPr>
        <w:t>: qualquer pessoa natural ou jurídica que se utiliza do STFC</w:t>
      </w:r>
      <w:r w:rsidR="0003472D" w:rsidRPr="003F7222">
        <w:rPr>
          <w:rFonts w:ascii="Arial" w:hAnsi="Arial" w:cs="Arial"/>
          <w:sz w:val="24"/>
          <w:szCs w:val="24"/>
          <w:lang w:val="pt-BR"/>
        </w:rPr>
        <w:t xml:space="preserve"> ou SMP</w:t>
      </w:r>
      <w:r w:rsidRPr="003F7222">
        <w:rPr>
          <w:rFonts w:ascii="Arial" w:hAnsi="Arial" w:cs="Arial"/>
          <w:sz w:val="24"/>
          <w:szCs w:val="24"/>
          <w:lang w:val="pt-BR"/>
        </w:rPr>
        <w:t>, independentemente de contrato de prestação de serviço ou inscrição junto à Prestadora.</w:t>
      </w:r>
      <w:bookmarkEnd w:id="0"/>
      <w:bookmarkEnd w:id="1"/>
    </w:p>
    <w:sectPr w:rsidR="005F6A76" w:rsidRPr="003F7222" w:rsidSect="003B2D24">
      <w:headerReference w:type="default" r:id="rId8"/>
      <w:footerReference w:type="default" r:id="rId9"/>
      <w:type w:val="nextColumn"/>
      <w:pgSz w:w="11907" w:h="16840" w:code="9"/>
      <w:pgMar w:top="1701" w:right="1134" w:bottom="1134" w:left="1418" w:header="284" w:footer="11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AA8" w:rsidRDefault="003C7AA8">
      <w:r>
        <w:separator/>
      </w:r>
    </w:p>
  </w:endnote>
  <w:endnote w:type="continuationSeparator" w:id="0">
    <w:p w:rsidR="003C7AA8" w:rsidRDefault="003C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altName w:val="Segoe Print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24F6" w:rsidRPr="002C626B" w:rsidRDefault="001A24F6">
    <w:pPr>
      <w:pStyle w:val="Rodap"/>
      <w:pBdr>
        <w:top w:val="single" w:sz="4" w:space="2" w:color="auto"/>
      </w:pBdr>
      <w:jc w:val="center"/>
      <w:rPr>
        <w:rFonts w:cs="Arial"/>
        <w:snapToGrid w:val="0"/>
        <w:szCs w:val="18"/>
        <w:lang w:eastAsia="pt-BR"/>
      </w:rPr>
    </w:pPr>
    <w:r w:rsidRPr="002C626B">
      <w:rPr>
        <w:rFonts w:cs="Arial"/>
        <w:snapToGrid w:val="0"/>
        <w:szCs w:val="18"/>
        <w:lang w:eastAsia="pt-BR"/>
      </w:rPr>
      <w:t xml:space="preserve">Página </w:t>
    </w:r>
    <w:r w:rsidR="00817787" w:rsidRPr="002C626B">
      <w:rPr>
        <w:rFonts w:cs="Arial"/>
        <w:snapToGrid w:val="0"/>
        <w:szCs w:val="18"/>
        <w:lang w:eastAsia="pt-BR"/>
      </w:rPr>
      <w:fldChar w:fldCharType="begin"/>
    </w:r>
    <w:r w:rsidRPr="002C626B">
      <w:rPr>
        <w:rFonts w:cs="Arial"/>
        <w:snapToGrid w:val="0"/>
        <w:szCs w:val="18"/>
        <w:lang w:eastAsia="pt-BR"/>
      </w:rPr>
      <w:instrText xml:space="preserve"> PAGE </w:instrText>
    </w:r>
    <w:r w:rsidR="00817787" w:rsidRPr="002C626B">
      <w:rPr>
        <w:rFonts w:cs="Arial"/>
        <w:snapToGrid w:val="0"/>
        <w:szCs w:val="18"/>
        <w:lang w:eastAsia="pt-BR"/>
      </w:rPr>
      <w:fldChar w:fldCharType="separate"/>
    </w:r>
    <w:r w:rsidR="001E61C4">
      <w:rPr>
        <w:rFonts w:cs="Arial"/>
        <w:noProof/>
        <w:snapToGrid w:val="0"/>
        <w:szCs w:val="18"/>
        <w:lang w:eastAsia="pt-BR"/>
      </w:rPr>
      <w:t>1</w:t>
    </w:r>
    <w:r w:rsidR="00817787" w:rsidRPr="002C626B">
      <w:rPr>
        <w:rFonts w:cs="Arial"/>
        <w:snapToGrid w:val="0"/>
        <w:szCs w:val="18"/>
        <w:lang w:eastAsia="pt-BR"/>
      </w:rPr>
      <w:fldChar w:fldCharType="end"/>
    </w:r>
    <w:r w:rsidRPr="002C626B">
      <w:rPr>
        <w:rFonts w:cs="Arial"/>
        <w:snapToGrid w:val="0"/>
        <w:szCs w:val="18"/>
        <w:lang w:eastAsia="pt-BR"/>
      </w:rPr>
      <w:t xml:space="preserve"> de </w:t>
    </w:r>
    <w:r w:rsidR="00817787" w:rsidRPr="002C626B">
      <w:rPr>
        <w:rFonts w:cs="Arial"/>
        <w:snapToGrid w:val="0"/>
        <w:szCs w:val="18"/>
        <w:lang w:eastAsia="pt-BR"/>
      </w:rPr>
      <w:fldChar w:fldCharType="begin"/>
    </w:r>
    <w:r w:rsidRPr="002C626B">
      <w:rPr>
        <w:rFonts w:cs="Arial"/>
        <w:snapToGrid w:val="0"/>
        <w:szCs w:val="18"/>
        <w:lang w:eastAsia="pt-BR"/>
      </w:rPr>
      <w:instrText xml:space="preserve"> NUMPAGES </w:instrText>
    </w:r>
    <w:r w:rsidR="00817787" w:rsidRPr="002C626B">
      <w:rPr>
        <w:rFonts w:cs="Arial"/>
        <w:snapToGrid w:val="0"/>
        <w:szCs w:val="18"/>
        <w:lang w:eastAsia="pt-BR"/>
      </w:rPr>
      <w:fldChar w:fldCharType="separate"/>
    </w:r>
    <w:r w:rsidR="001E61C4">
      <w:rPr>
        <w:rFonts w:cs="Arial"/>
        <w:noProof/>
        <w:snapToGrid w:val="0"/>
        <w:szCs w:val="18"/>
        <w:lang w:eastAsia="pt-BR"/>
      </w:rPr>
      <w:t>3</w:t>
    </w:r>
    <w:r w:rsidR="00817787" w:rsidRPr="002C626B">
      <w:rPr>
        <w:rFonts w:cs="Arial"/>
        <w:snapToGrid w:val="0"/>
        <w:szCs w:val="18"/>
        <w:lang w:eastAsia="pt-BR"/>
      </w:rPr>
      <w:fldChar w:fldCharType="end"/>
    </w:r>
  </w:p>
  <w:p w:rsidR="003B2D24" w:rsidRDefault="003B2D24">
    <w:pPr>
      <w:pStyle w:val="Rodap"/>
      <w:pBdr>
        <w:top w:val="single" w:sz="4" w:space="2" w:color="auto"/>
      </w:pBdr>
      <w:jc w:val="center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ab/>
    </w:r>
  </w:p>
  <w:p w:rsidR="00767A16" w:rsidRDefault="00767A16">
    <w:pPr>
      <w:pStyle w:val="Rodap"/>
      <w:pBdr>
        <w:top w:val="single" w:sz="4" w:space="2" w:color="auto"/>
      </w:pBdr>
      <w:jc w:val="center"/>
      <w:rPr>
        <w:rFonts w:ascii="Times New Roman" w:hAnsi="Times New Roman"/>
        <w:sz w:val="16"/>
        <w:szCs w:val="16"/>
      </w:rPr>
    </w:pPr>
  </w:p>
  <w:p w:rsidR="00767A16" w:rsidRDefault="00767A16">
    <w:pPr>
      <w:pStyle w:val="Rodap"/>
      <w:pBdr>
        <w:top w:val="single" w:sz="4" w:space="2" w:color="auto"/>
      </w:pBdr>
      <w:jc w:val="center"/>
      <w:rPr>
        <w:rFonts w:ascii="Times New Roman" w:hAnsi="Times New Roman"/>
        <w:sz w:val="16"/>
        <w:szCs w:val="16"/>
      </w:rPr>
    </w:pPr>
  </w:p>
  <w:p w:rsidR="00767A16" w:rsidRPr="00DC2E1A" w:rsidRDefault="00767A16">
    <w:pPr>
      <w:pStyle w:val="Rodap"/>
      <w:pBdr>
        <w:top w:val="single" w:sz="4" w:space="2" w:color="auto"/>
      </w:pBdr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AA8" w:rsidRDefault="003C7AA8">
      <w:r>
        <w:separator/>
      </w:r>
    </w:p>
  </w:footnote>
  <w:footnote w:type="continuationSeparator" w:id="0">
    <w:p w:rsidR="003C7AA8" w:rsidRDefault="003C7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740C" w:rsidRDefault="00366C02" w:rsidP="00366C02">
    <w:pPr>
      <w:pStyle w:val="Cabealho"/>
      <w:pBdr>
        <w:bottom w:val="single" w:sz="4" w:space="3" w:color="auto"/>
      </w:pBdr>
      <w:rPr>
        <w:rFonts w:ascii="Arial" w:hAnsi="Arial"/>
        <w:sz w:val="16"/>
        <w:lang w:val="pt-BR"/>
      </w:rPr>
    </w:pPr>
    <w:r>
      <w:rPr>
        <w:rFonts w:ascii="Arial" w:hAnsi="Arial"/>
        <w:sz w:val="16"/>
        <w:lang w:val="pt-BR"/>
      </w:rPr>
      <w:tab/>
    </w:r>
    <w:r>
      <w:rPr>
        <w:rFonts w:ascii="Arial" w:hAnsi="Arial"/>
        <w:sz w:val="16"/>
        <w:lang w:val="pt-BR"/>
      </w:rPr>
      <w:tab/>
    </w:r>
    <w:r w:rsidR="001A24F6">
      <w:rPr>
        <w:rFonts w:ascii="Arial" w:hAnsi="Arial"/>
        <w:sz w:val="16"/>
        <w:lang w:val="pt-BR"/>
      </w:rPr>
      <w:t xml:space="preserve"> </w:t>
    </w:r>
  </w:p>
  <w:p w:rsidR="007E184D" w:rsidRDefault="007E184D" w:rsidP="00EC30B9">
    <w:pPr>
      <w:pStyle w:val="Cabealho"/>
      <w:pBdr>
        <w:bottom w:val="single" w:sz="4" w:space="3" w:color="auto"/>
      </w:pBdr>
      <w:rPr>
        <w:rFonts w:ascii="Arial" w:hAnsi="Arial"/>
        <w:noProof/>
        <w:sz w:val="16"/>
        <w:lang w:val="pt-BR" w:eastAsia="pt-BR"/>
      </w:rPr>
    </w:pPr>
  </w:p>
  <w:p w:rsidR="007E184D" w:rsidRDefault="007E184D" w:rsidP="00EC30B9">
    <w:pPr>
      <w:pStyle w:val="Cabealho"/>
      <w:pBdr>
        <w:bottom w:val="single" w:sz="4" w:space="3" w:color="auto"/>
      </w:pBdr>
      <w:rPr>
        <w:rFonts w:ascii="Arial" w:hAnsi="Arial"/>
        <w:noProof/>
        <w:sz w:val="16"/>
        <w:lang w:val="pt-BR" w:eastAsia="pt-BR"/>
      </w:rPr>
    </w:pPr>
  </w:p>
  <w:p w:rsidR="00620FC0" w:rsidRPr="00C94FB9" w:rsidRDefault="00EC30B9" w:rsidP="00EC30B9">
    <w:pPr>
      <w:pStyle w:val="Cabealho"/>
      <w:pBdr>
        <w:bottom w:val="single" w:sz="4" w:space="3" w:color="auto"/>
      </w:pBdr>
      <w:rPr>
        <w:rFonts w:ascii="Arial" w:hAnsi="Arial" w:cs="Arial"/>
        <w:sz w:val="16"/>
        <w:lang w:val="pt-BR"/>
      </w:rPr>
    </w:pPr>
    <w:r>
      <w:rPr>
        <w:rFonts w:ascii="Times New Roman" w:hAnsi="Times New Roman"/>
        <w:sz w:val="16"/>
        <w:lang w:val="pt-BR"/>
      </w:rPr>
      <w:tab/>
    </w:r>
    <w:r w:rsidR="001A24F6" w:rsidRPr="00C94FB9">
      <w:rPr>
        <w:rFonts w:ascii="Arial" w:hAnsi="Arial" w:cs="Arial"/>
        <w:sz w:val="16"/>
        <w:lang w:val="pt-BR"/>
      </w:rPr>
      <w:t>ANEXO 1 AO CONTRATO DE INTERCONEXÃO</w:t>
    </w:r>
  </w:p>
  <w:p w:rsidR="001A24F6" w:rsidRPr="00C94FB9" w:rsidRDefault="00EC30B9" w:rsidP="00EC30B9">
    <w:pPr>
      <w:pStyle w:val="Cabealho"/>
      <w:pBdr>
        <w:bottom w:val="single" w:sz="4" w:space="3" w:color="auto"/>
      </w:pBdr>
      <w:rPr>
        <w:rFonts w:ascii="Arial" w:hAnsi="Arial" w:cs="Arial"/>
        <w:sz w:val="16"/>
        <w:lang w:val="pt-BR"/>
      </w:rPr>
    </w:pPr>
    <w:r w:rsidRPr="00C94FB9">
      <w:rPr>
        <w:rFonts w:ascii="Arial" w:hAnsi="Arial" w:cs="Arial"/>
        <w:sz w:val="16"/>
        <w:lang w:val="pt-BR"/>
      </w:rPr>
      <w:tab/>
      <w:t>PARA TRÁFEGO TELEFÔNICO ENTRE A ALGAR E TELE-XX</w:t>
    </w:r>
  </w:p>
  <w:p w:rsidR="001A24F6" w:rsidRPr="00C94FB9" w:rsidRDefault="001A24F6" w:rsidP="00EC30B9">
    <w:pPr>
      <w:pStyle w:val="Cabealho"/>
      <w:pBdr>
        <w:bottom w:val="single" w:sz="4" w:space="3" w:color="auto"/>
      </w:pBdr>
      <w:rPr>
        <w:rFonts w:ascii="Arial" w:hAnsi="Arial" w:cs="Arial"/>
        <w:sz w:val="16"/>
        <w:szCs w:val="16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167C11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007BF3"/>
    <w:multiLevelType w:val="singleLevel"/>
    <w:tmpl w:val="EA56A02C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3" w15:restartNumberingAfterBreak="0">
    <w:nsid w:val="095F204F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FA02371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82B68F3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97C4F56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B20504E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CE837B5"/>
    <w:multiLevelType w:val="singleLevel"/>
    <w:tmpl w:val="D3C0F65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37E59A3"/>
    <w:multiLevelType w:val="singleLevel"/>
    <w:tmpl w:val="3B4C654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23C204D5"/>
    <w:multiLevelType w:val="multilevel"/>
    <w:tmpl w:val="12964AEC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 w15:restartNumberingAfterBreak="0">
    <w:nsid w:val="2B825D63"/>
    <w:multiLevelType w:val="singleLevel"/>
    <w:tmpl w:val="DAD0FF8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12" w15:restartNumberingAfterBreak="0">
    <w:nsid w:val="3C135357"/>
    <w:multiLevelType w:val="multilevel"/>
    <w:tmpl w:val="1562C9F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 w15:restartNumberingAfterBreak="0">
    <w:nsid w:val="416210A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5A87AFB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6A44591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C801CD6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DAB66A0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3E25BA6"/>
    <w:multiLevelType w:val="singleLevel"/>
    <w:tmpl w:val="60BEAD42"/>
    <w:lvl w:ilvl="0">
      <w:start w:val="1"/>
      <w:numFmt w:val="lowerLetter"/>
      <w:lvlText w:val="%1)"/>
      <w:legacy w:legacy="1" w:legacySpace="0" w:legacyIndent="283"/>
      <w:lvlJc w:val="left"/>
      <w:pPr>
        <w:ind w:left="2127" w:hanging="283"/>
      </w:pPr>
    </w:lvl>
  </w:abstractNum>
  <w:abstractNum w:abstractNumId="19" w15:restartNumberingAfterBreak="0">
    <w:nsid w:val="580D3132"/>
    <w:multiLevelType w:val="singleLevel"/>
    <w:tmpl w:val="960CF71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sz w:val="24"/>
        <w:szCs w:val="24"/>
      </w:rPr>
    </w:lvl>
  </w:abstractNum>
  <w:abstractNum w:abstractNumId="20" w15:restartNumberingAfterBreak="0">
    <w:nsid w:val="59F974B4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AF066F8"/>
    <w:multiLevelType w:val="singleLevel"/>
    <w:tmpl w:val="E6AA9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</w:abstractNum>
  <w:abstractNum w:abstractNumId="22" w15:restartNumberingAfterBreak="0">
    <w:nsid w:val="5E041625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F731150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027710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1F42AAC"/>
    <w:multiLevelType w:val="multilevel"/>
    <w:tmpl w:val="679C38EE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6" w15:restartNumberingAfterBreak="0">
    <w:nsid w:val="68321AD9"/>
    <w:multiLevelType w:val="singleLevel"/>
    <w:tmpl w:val="9DCC3E2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6BDF207F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DC4407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73652CF1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4D97271"/>
    <w:multiLevelType w:val="singleLevel"/>
    <w:tmpl w:val="EA56A02C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31" w15:restartNumberingAfterBreak="0">
    <w:nsid w:val="77EC5FBB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B066CCF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FF47E3B"/>
    <w:multiLevelType w:val="multilevel"/>
    <w:tmpl w:val="D08638D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30"/>
        </w:tabs>
        <w:ind w:left="1130" w:hanging="70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5"/>
        </w:tabs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65"/>
        </w:tabs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75"/>
        </w:tabs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num w:numId="1">
    <w:abstractNumId w:val="33"/>
  </w:num>
  <w:num w:numId="2">
    <w:abstractNumId w:val="10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4">
    <w:abstractNumId w:val="18"/>
  </w:num>
  <w:num w:numId="5">
    <w:abstractNumId w:val="5"/>
  </w:num>
  <w:num w:numId="6">
    <w:abstractNumId w:val="2"/>
  </w:num>
  <w:num w:numId="7">
    <w:abstractNumId w:val="31"/>
  </w:num>
  <w:num w:numId="8">
    <w:abstractNumId w:val="22"/>
  </w:num>
  <w:num w:numId="9">
    <w:abstractNumId w:val="16"/>
  </w:num>
  <w:num w:numId="10">
    <w:abstractNumId w:val="30"/>
  </w:num>
  <w:num w:numId="11">
    <w:abstractNumId w:val="12"/>
  </w:num>
  <w:num w:numId="12">
    <w:abstractNumId w:val="9"/>
  </w:num>
  <w:num w:numId="13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283" w:hanging="283"/>
        </w:pPr>
        <w:rPr>
          <w:b w:val="0"/>
          <w:i w:val="0"/>
        </w:rPr>
      </w:lvl>
    </w:lvlOverride>
  </w:num>
  <w:num w:numId="14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283" w:hanging="283"/>
        </w:pPr>
        <w:rPr>
          <w:b w:val="0"/>
          <w:i w:val="0"/>
        </w:rPr>
      </w:lvl>
    </w:lvlOverride>
  </w:num>
  <w:num w:numId="15">
    <w:abstractNumId w:val="29"/>
  </w:num>
  <w:num w:numId="16">
    <w:abstractNumId w:val="25"/>
  </w:num>
  <w:num w:numId="17">
    <w:abstractNumId w:val="6"/>
  </w:num>
  <w:num w:numId="18">
    <w:abstractNumId w:val="21"/>
  </w:num>
  <w:num w:numId="19">
    <w:abstractNumId w:val="11"/>
  </w:num>
  <w:num w:numId="20">
    <w:abstractNumId w:val="19"/>
  </w:num>
  <w:num w:numId="21">
    <w:abstractNumId w:val="1"/>
  </w:num>
  <w:num w:numId="22">
    <w:abstractNumId w:val="24"/>
  </w:num>
  <w:num w:numId="23">
    <w:abstractNumId w:val="20"/>
  </w:num>
  <w:num w:numId="24">
    <w:abstractNumId w:val="27"/>
  </w:num>
  <w:num w:numId="25">
    <w:abstractNumId w:val="28"/>
  </w:num>
  <w:num w:numId="26">
    <w:abstractNumId w:val="23"/>
  </w:num>
  <w:num w:numId="27">
    <w:abstractNumId w:val="17"/>
  </w:num>
  <w:num w:numId="28">
    <w:abstractNumId w:val="14"/>
  </w:num>
  <w:num w:numId="29">
    <w:abstractNumId w:val="13"/>
  </w:num>
  <w:num w:numId="30">
    <w:abstractNumId w:val="7"/>
  </w:num>
  <w:num w:numId="31">
    <w:abstractNumId w:val="32"/>
  </w:num>
  <w:num w:numId="32">
    <w:abstractNumId w:val="3"/>
  </w:num>
  <w:num w:numId="33">
    <w:abstractNumId w:val="19"/>
  </w:num>
  <w:num w:numId="34">
    <w:abstractNumId w:val="4"/>
  </w:num>
  <w:num w:numId="35">
    <w:abstractNumId w:val="26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ocumentProtection w:edit="trackedChanges" w:enforcement="1" w:cryptProviderType="rsaAES" w:cryptAlgorithmClass="hash" w:cryptAlgorithmType="typeAny" w:cryptAlgorithmSid="14" w:cryptSpinCount="100000" w:hash="IXhy2SEUwIqzeitrcYaTVJxEg2VjrZy6zfhRsexwQ7jqX7m0fGRpAijeVO8aml+0VhcdlhKPh7e0HFDlfYZkcg==" w:salt="KWi4R27AqQgwbNYC8YLUWQ==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56EF3"/>
    <w:rsid w:val="00011045"/>
    <w:rsid w:val="00013593"/>
    <w:rsid w:val="0003472D"/>
    <w:rsid w:val="00087216"/>
    <w:rsid w:val="00091E78"/>
    <w:rsid w:val="00094F25"/>
    <w:rsid w:val="000C6C18"/>
    <w:rsid w:val="000E7531"/>
    <w:rsid w:val="000F2C8C"/>
    <w:rsid w:val="00123D4F"/>
    <w:rsid w:val="00130CCE"/>
    <w:rsid w:val="001A24F6"/>
    <w:rsid w:val="001E61C4"/>
    <w:rsid w:val="001F61CC"/>
    <w:rsid w:val="002107CA"/>
    <w:rsid w:val="0024740C"/>
    <w:rsid w:val="00270177"/>
    <w:rsid w:val="0029083C"/>
    <w:rsid w:val="002C626B"/>
    <w:rsid w:val="00361594"/>
    <w:rsid w:val="00366A86"/>
    <w:rsid w:val="00366C02"/>
    <w:rsid w:val="003B2D24"/>
    <w:rsid w:val="003C73D2"/>
    <w:rsid w:val="003C7AA8"/>
    <w:rsid w:val="003D00CC"/>
    <w:rsid w:val="003F7222"/>
    <w:rsid w:val="00452A80"/>
    <w:rsid w:val="004576F2"/>
    <w:rsid w:val="00457FD9"/>
    <w:rsid w:val="004F0805"/>
    <w:rsid w:val="00523651"/>
    <w:rsid w:val="00577FF8"/>
    <w:rsid w:val="0059074A"/>
    <w:rsid w:val="005D47CA"/>
    <w:rsid w:val="005F6A76"/>
    <w:rsid w:val="00620FC0"/>
    <w:rsid w:val="00645751"/>
    <w:rsid w:val="00647CA9"/>
    <w:rsid w:val="00681AE9"/>
    <w:rsid w:val="006906E9"/>
    <w:rsid w:val="00695C16"/>
    <w:rsid w:val="006A2778"/>
    <w:rsid w:val="006B4AC9"/>
    <w:rsid w:val="006C525E"/>
    <w:rsid w:val="00717674"/>
    <w:rsid w:val="00746180"/>
    <w:rsid w:val="00767A16"/>
    <w:rsid w:val="007704FE"/>
    <w:rsid w:val="007E184D"/>
    <w:rsid w:val="00815ADF"/>
    <w:rsid w:val="00817787"/>
    <w:rsid w:val="00856DA4"/>
    <w:rsid w:val="00860470"/>
    <w:rsid w:val="00864CB4"/>
    <w:rsid w:val="00874516"/>
    <w:rsid w:val="0087576F"/>
    <w:rsid w:val="008757F1"/>
    <w:rsid w:val="00886467"/>
    <w:rsid w:val="00895DE6"/>
    <w:rsid w:val="008D53CF"/>
    <w:rsid w:val="008E07E6"/>
    <w:rsid w:val="008F235B"/>
    <w:rsid w:val="00911A5F"/>
    <w:rsid w:val="00924ABE"/>
    <w:rsid w:val="0093452B"/>
    <w:rsid w:val="009418EA"/>
    <w:rsid w:val="00962CAE"/>
    <w:rsid w:val="009A3ADC"/>
    <w:rsid w:val="009B2F3A"/>
    <w:rsid w:val="009D6096"/>
    <w:rsid w:val="00A03E7F"/>
    <w:rsid w:val="00A65056"/>
    <w:rsid w:val="00A76246"/>
    <w:rsid w:val="00A8015B"/>
    <w:rsid w:val="00A80EA5"/>
    <w:rsid w:val="00A86760"/>
    <w:rsid w:val="00AD7252"/>
    <w:rsid w:val="00AE4917"/>
    <w:rsid w:val="00AE7ABB"/>
    <w:rsid w:val="00AF179D"/>
    <w:rsid w:val="00B00624"/>
    <w:rsid w:val="00B56EF3"/>
    <w:rsid w:val="00B609A0"/>
    <w:rsid w:val="00B654D3"/>
    <w:rsid w:val="00B85866"/>
    <w:rsid w:val="00B87855"/>
    <w:rsid w:val="00BB6DA3"/>
    <w:rsid w:val="00BC4200"/>
    <w:rsid w:val="00BE0889"/>
    <w:rsid w:val="00BE27FD"/>
    <w:rsid w:val="00C03AD5"/>
    <w:rsid w:val="00C242CD"/>
    <w:rsid w:val="00C54F6B"/>
    <w:rsid w:val="00C94FB9"/>
    <w:rsid w:val="00C95F21"/>
    <w:rsid w:val="00CA0A81"/>
    <w:rsid w:val="00CA42C7"/>
    <w:rsid w:val="00CA5180"/>
    <w:rsid w:val="00CB2057"/>
    <w:rsid w:val="00D53F85"/>
    <w:rsid w:val="00DC2E1A"/>
    <w:rsid w:val="00E007B2"/>
    <w:rsid w:val="00E725E5"/>
    <w:rsid w:val="00E9641C"/>
    <w:rsid w:val="00EB1F60"/>
    <w:rsid w:val="00EC30B9"/>
    <w:rsid w:val="00F04F77"/>
    <w:rsid w:val="00F34C2F"/>
    <w:rsid w:val="00F451FA"/>
    <w:rsid w:val="00F6441A"/>
    <w:rsid w:val="00F661E8"/>
    <w:rsid w:val="00FA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825C4CA9-7E18-4F2C-9F3C-9EFF03B24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42CD"/>
    <w:rPr>
      <w:lang w:val="en-US"/>
    </w:rPr>
  </w:style>
  <w:style w:type="paragraph" w:styleId="Ttulo1">
    <w:name w:val="heading 1"/>
    <w:basedOn w:val="Normal"/>
    <w:next w:val="Normal"/>
    <w:qFormat/>
    <w:rsid w:val="00C242CD"/>
    <w:pPr>
      <w:keepNext/>
      <w:spacing w:before="240"/>
      <w:ind w:right="72"/>
      <w:jc w:val="both"/>
      <w:outlineLvl w:val="0"/>
    </w:pPr>
    <w:rPr>
      <w:rFonts w:ascii="Arial" w:hAnsi="Arial"/>
      <w:lang w:val="pt-BR"/>
    </w:rPr>
  </w:style>
  <w:style w:type="paragraph" w:styleId="Ttulo2">
    <w:name w:val="heading 2"/>
    <w:basedOn w:val="Normal"/>
    <w:next w:val="Normal"/>
    <w:qFormat/>
    <w:rsid w:val="00C242CD"/>
    <w:pPr>
      <w:keepNext/>
      <w:tabs>
        <w:tab w:val="left" w:pos="0"/>
        <w:tab w:val="left" w:pos="426"/>
      </w:tabs>
      <w:spacing w:before="240"/>
      <w:ind w:right="72"/>
      <w:jc w:val="both"/>
      <w:outlineLvl w:val="1"/>
    </w:pPr>
    <w:rPr>
      <w:rFonts w:ascii="Arial" w:hAnsi="Arial"/>
      <w:sz w:val="24"/>
      <w:lang w:val="pt-BR"/>
    </w:rPr>
  </w:style>
  <w:style w:type="paragraph" w:styleId="Ttulo7">
    <w:name w:val="heading 7"/>
    <w:basedOn w:val="Normal"/>
    <w:next w:val="Normal"/>
    <w:qFormat/>
    <w:rsid w:val="00C242CD"/>
    <w:pPr>
      <w:keepNext/>
      <w:widowControl w:val="0"/>
      <w:jc w:val="center"/>
      <w:outlineLvl w:val="6"/>
    </w:pPr>
    <w:rPr>
      <w:rFonts w:ascii="Arial" w:hAnsi="Arial"/>
      <w:b/>
      <w:sz w:val="16"/>
      <w:lang w:val="pt-BR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Anexos">
    <w:name w:val="Anexos"/>
    <w:basedOn w:val="Normal"/>
    <w:rsid w:val="00C242CD"/>
    <w:pPr>
      <w:widowControl w:val="0"/>
      <w:jc w:val="both"/>
    </w:pPr>
    <w:rPr>
      <w:rFonts w:ascii="Arial" w:hAnsi="Arial"/>
      <w:sz w:val="24"/>
      <w:lang w:val="pt-BR" w:eastAsia="en-US"/>
    </w:rPr>
  </w:style>
  <w:style w:type="paragraph" w:customStyle="1" w:styleId="Anexos1">
    <w:name w:val="Anexos1"/>
    <w:basedOn w:val="Anexos"/>
    <w:rsid w:val="00C242CD"/>
    <w:pPr>
      <w:spacing w:line="360" w:lineRule="auto"/>
      <w:jc w:val="center"/>
    </w:pPr>
    <w:rPr>
      <w:b/>
      <w:sz w:val="28"/>
    </w:rPr>
  </w:style>
  <w:style w:type="paragraph" w:styleId="Textodecomentrio">
    <w:name w:val="annotation text"/>
    <w:basedOn w:val="Normal"/>
    <w:semiHidden/>
    <w:rsid w:val="00C242CD"/>
    <w:pPr>
      <w:widowControl w:val="0"/>
    </w:pPr>
    <w:rPr>
      <w:rFonts w:ascii="Book Antiqua" w:hAnsi="Book Antiqua"/>
      <w:lang w:eastAsia="en-US"/>
    </w:rPr>
  </w:style>
  <w:style w:type="paragraph" w:customStyle="1" w:styleId="BodyText22">
    <w:name w:val="Body Text 22"/>
    <w:basedOn w:val="Normal"/>
    <w:rsid w:val="00C242CD"/>
    <w:pPr>
      <w:widowControl w:val="0"/>
      <w:jc w:val="both"/>
    </w:pPr>
    <w:rPr>
      <w:rFonts w:ascii="Arial" w:hAnsi="Arial"/>
      <w:sz w:val="24"/>
      <w:lang w:val="pt-BR" w:eastAsia="en-US"/>
    </w:rPr>
  </w:style>
  <w:style w:type="paragraph" w:styleId="Cabealho">
    <w:name w:val="header"/>
    <w:basedOn w:val="Normal"/>
    <w:rsid w:val="00C242CD"/>
    <w:pPr>
      <w:widowControl w:val="0"/>
      <w:tabs>
        <w:tab w:val="center" w:pos="4320"/>
        <w:tab w:val="right" w:pos="8640"/>
      </w:tabs>
    </w:pPr>
    <w:rPr>
      <w:rFonts w:ascii="Book Antiqua" w:hAnsi="Book Antiqua"/>
      <w:sz w:val="24"/>
      <w:lang w:eastAsia="en-US"/>
    </w:rPr>
  </w:style>
  <w:style w:type="paragraph" w:styleId="Rodap">
    <w:name w:val="footer"/>
    <w:basedOn w:val="Normal"/>
    <w:rsid w:val="00C242CD"/>
    <w:pPr>
      <w:widowControl w:val="0"/>
      <w:pBdr>
        <w:top w:val="single" w:sz="4" w:space="1" w:color="auto"/>
      </w:pBdr>
      <w:tabs>
        <w:tab w:val="center" w:pos="4678"/>
        <w:tab w:val="right" w:pos="9497"/>
      </w:tabs>
    </w:pPr>
    <w:rPr>
      <w:rFonts w:ascii="Arial" w:hAnsi="Arial"/>
      <w:sz w:val="18"/>
      <w:lang w:val="pt-BR" w:eastAsia="en-US"/>
    </w:rPr>
  </w:style>
  <w:style w:type="character" w:styleId="Nmerodepgina">
    <w:name w:val="page number"/>
    <w:basedOn w:val="Fontepargpadro"/>
    <w:rsid w:val="00C242CD"/>
  </w:style>
  <w:style w:type="paragraph" w:styleId="Textodenotaderodap">
    <w:name w:val="footnote text"/>
    <w:basedOn w:val="Normal"/>
    <w:semiHidden/>
    <w:rsid w:val="00C242CD"/>
  </w:style>
  <w:style w:type="character" w:styleId="Refdenotaderodap">
    <w:name w:val="footnote reference"/>
    <w:basedOn w:val="Fontepargpadro"/>
    <w:semiHidden/>
    <w:rsid w:val="00C242CD"/>
    <w:rPr>
      <w:vertAlign w:val="superscript"/>
    </w:rPr>
  </w:style>
  <w:style w:type="paragraph" w:styleId="Corpodetexto">
    <w:name w:val="Body Text"/>
    <w:basedOn w:val="Normal"/>
    <w:rsid w:val="00C242CD"/>
    <w:pPr>
      <w:spacing w:before="240"/>
      <w:ind w:right="72"/>
      <w:jc w:val="both"/>
    </w:pPr>
    <w:rPr>
      <w:rFonts w:ascii="Arial" w:hAnsi="Arial"/>
      <w:lang w:val="pt-BR"/>
    </w:rPr>
  </w:style>
  <w:style w:type="paragraph" w:styleId="Corpodetexto2">
    <w:name w:val="Body Text 2"/>
    <w:basedOn w:val="Normal"/>
    <w:rsid w:val="00C242CD"/>
    <w:pPr>
      <w:spacing w:before="240"/>
      <w:ind w:right="72"/>
      <w:jc w:val="both"/>
    </w:pPr>
    <w:rPr>
      <w:rFonts w:ascii="Arial" w:hAnsi="Arial"/>
      <w:sz w:val="24"/>
      <w:lang w:val="pt-BR"/>
    </w:rPr>
  </w:style>
  <w:style w:type="paragraph" w:styleId="Textodebalo">
    <w:name w:val="Balloon Text"/>
    <w:basedOn w:val="Normal"/>
    <w:semiHidden/>
    <w:rsid w:val="00C242CD"/>
    <w:rPr>
      <w:rFonts w:ascii="Tahoma" w:hAnsi="Tahoma" w:cs="Tahoma"/>
      <w:sz w:val="16"/>
      <w:szCs w:val="16"/>
    </w:rPr>
  </w:style>
  <w:style w:type="paragraph" w:customStyle="1" w:styleId="Estilo1">
    <w:name w:val="Estilo1"/>
    <w:basedOn w:val="Normal"/>
    <w:next w:val="Normal"/>
    <w:rsid w:val="000F2C8C"/>
    <w:pPr>
      <w:ind w:left="2268" w:right="2268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5028F-12D6-448C-B29C-CE2C97B02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835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1</vt:lpstr>
    </vt:vector>
  </TitlesOfParts>
  <Company>Telefônica</Company>
  <LinksUpToDate>false</LinksUpToDate>
  <CharactersWithSpaces>5338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1</dc:title>
  <dc:subject/>
  <dc:creator>Jose Carlos Cunha</dc:creator>
  <cp:keywords/>
  <cp:lastModifiedBy>Claudia Cristina Ribeiro Macedo</cp:lastModifiedBy>
  <cp:revision>47</cp:revision>
  <cp:lastPrinted>2021-04-01T18:11:00Z</cp:lastPrinted>
  <dcterms:created xsi:type="dcterms:W3CDTF">2008-09-09T19:28:00Z</dcterms:created>
  <dcterms:modified xsi:type="dcterms:W3CDTF">2021-04-01T18:11:00Z</dcterms:modified>
</cp:coreProperties>
</file>