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DE" w:rsidRPr="00CA05BD" w:rsidRDefault="008935DE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  <w:bookmarkStart w:id="0" w:name="_GoBack"/>
      <w:bookmarkEnd w:id="0"/>
    </w:p>
    <w:p w:rsidR="009E130E" w:rsidRPr="00CA05BD" w:rsidRDefault="00867B3B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  <w:r w:rsidRPr="00CA05BD">
        <w:rPr>
          <w:rFonts w:cs="Arial"/>
          <w:sz w:val="24"/>
          <w:szCs w:val="24"/>
        </w:rPr>
        <w:t xml:space="preserve"> </w:t>
      </w:r>
      <w:r w:rsidR="00683BBC" w:rsidRPr="00CA05BD">
        <w:rPr>
          <w:rFonts w:cs="Arial"/>
          <w:sz w:val="24"/>
          <w:szCs w:val="24"/>
        </w:rPr>
        <w:t xml:space="preserve"> </w:t>
      </w:r>
      <w:r w:rsidR="009E130E" w:rsidRPr="00CA05BD">
        <w:rPr>
          <w:rFonts w:cs="Arial"/>
          <w:sz w:val="24"/>
          <w:szCs w:val="24"/>
        </w:rPr>
        <w:t>ANEXO 8</w:t>
      </w:r>
    </w:p>
    <w:p w:rsidR="008935DE" w:rsidRPr="00CA05BD" w:rsidRDefault="008935DE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</w:p>
    <w:p w:rsidR="009E130E" w:rsidRPr="00CA05BD" w:rsidRDefault="009E130E" w:rsidP="00DD7621">
      <w:pPr>
        <w:pStyle w:val="Anexos1"/>
        <w:suppressAutoHyphens/>
        <w:outlineLvl w:val="0"/>
        <w:rPr>
          <w:rFonts w:cs="Arial"/>
          <w:sz w:val="24"/>
          <w:szCs w:val="24"/>
        </w:rPr>
      </w:pPr>
      <w:r w:rsidRPr="00CA05BD">
        <w:rPr>
          <w:rFonts w:cs="Arial"/>
          <w:sz w:val="24"/>
          <w:szCs w:val="24"/>
        </w:rPr>
        <w:t>GERENCIAMENTO DE ANORMALIDADES DA REDE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As Partes reconhecem que é de seu mútuo interesse estabelecer um processo eficiente e efetivo para comunicar e resolver as anormalidades de rede que repercutam na outra Parte. </w:t>
      </w:r>
    </w:p>
    <w:p w:rsidR="009E130E" w:rsidRPr="00CA05BD" w:rsidRDefault="009E130E" w:rsidP="003C6448">
      <w:pPr>
        <w:pStyle w:val="Anexos"/>
        <w:numPr>
          <w:ilvl w:val="1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>As Partes implementarão um processo de Gerenciamento de Anormalidades de Rede para prontamente comunicar, monitorar e resolver as falhas da rede ou degradação de serviços, conforme definido nos Apêndices A e B do presente Anexo 8.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Não obstante os métodos e procedimentos definidos nos Apêndices A e B, as Partes trabalharão em regime de cooperação para efetuar um aperfeiçoamento contínuo na administração deste processo de Gerenciamento de Anormalidades de Rede. </w:t>
      </w:r>
    </w:p>
    <w:p w:rsidR="009E130E" w:rsidRPr="00CA05BD" w:rsidRDefault="009E130E" w:rsidP="003C6448">
      <w:pPr>
        <w:pStyle w:val="Anexos"/>
        <w:numPr>
          <w:ilvl w:val="1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>A qualquer momento durante vigência do presente Anexo, qualquer uma das Partes poderá solicitar modificações específicas nesses processos, que não poderão ser recusadas pela outra Parte sem um motivo justo.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As Partes priorizarão o gerenciamento de anormalidades, no caso de diversas anormalidades serem notificadas simultaneamente. </w:t>
      </w:r>
    </w:p>
    <w:p w:rsidR="009E130E" w:rsidRPr="00CA05BD" w:rsidRDefault="009E130E" w:rsidP="003C6448">
      <w:pPr>
        <w:pStyle w:val="Anexos"/>
        <w:numPr>
          <w:ilvl w:val="1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Em nenhum caso a Parte que recebeu a notificação de anormalidades tirará vantagem para si, seus Usuários Finais ou qualquer outro provedor de Serviços de Telecomunicações com relação </w:t>
      </w:r>
      <w:r w:rsidR="00402101" w:rsidRPr="00CA05BD">
        <w:rPr>
          <w:rFonts w:cs="Arial"/>
          <w:szCs w:val="24"/>
        </w:rPr>
        <w:t>à</w:t>
      </w:r>
      <w:r w:rsidRPr="00CA05BD">
        <w:rPr>
          <w:rFonts w:cs="Arial"/>
          <w:szCs w:val="24"/>
        </w:rPr>
        <w:t xml:space="preserve"> Parte reclamante das anormalidades, em sua alocação de recursos para detectar e corrigir as anormalidades. 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As Partes acordarão um processo de acompanhamento de notificação de anormalidades que disponha de uma identificação única que seja utilizada por ambas as Partes. Esta identificação será utilizada para referenciar a uma anormalidade específica, minimizando, assim, possíveis confusões ou </w:t>
      </w:r>
      <w:r w:rsidRPr="00CA05BD">
        <w:rPr>
          <w:rFonts w:cs="Arial"/>
          <w:szCs w:val="24"/>
        </w:rPr>
        <w:lastRenderedPageBreak/>
        <w:t>problemas de comunicação.</w:t>
      </w:r>
    </w:p>
    <w:p w:rsidR="009E130E" w:rsidRPr="00CA05BD" w:rsidRDefault="009E130E" w:rsidP="003C6448">
      <w:pPr>
        <w:pStyle w:val="Anexos"/>
        <w:numPr>
          <w:ilvl w:val="1"/>
          <w:numId w:val="1"/>
        </w:numPr>
        <w:tabs>
          <w:tab w:val="left" w:pos="993"/>
        </w:tabs>
        <w:suppressAutoHyphens/>
        <w:spacing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>A Parte que recebeu a notificação de anormalidade deverá encaminhá-la imediatamente a um órgão responsável, para resolver a anormalidade.</w:t>
      </w:r>
    </w:p>
    <w:p w:rsidR="009E130E" w:rsidRPr="00CA05BD" w:rsidRDefault="009E130E" w:rsidP="003C6448">
      <w:pPr>
        <w:pStyle w:val="Anexos"/>
        <w:numPr>
          <w:ilvl w:val="1"/>
          <w:numId w:val="1"/>
        </w:numPr>
        <w:tabs>
          <w:tab w:val="left" w:pos="993"/>
        </w:tabs>
        <w:suppressAutoHyphens/>
        <w:spacing w:before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>As Partes estabelecerão tempos padrões para a detecção e notificação da situação da anormalidade, com base no nível de prioridade estabelecido entre as Partes.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993"/>
        </w:tabs>
        <w:suppressAutoHyphens/>
        <w:spacing w:before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Cada uma das Partes fornecerá à outra, em um prazo de 30 (trinta) dias contados a partir da ativação do circuito, uma lista hierárquica de responsáveis e respectivos procedimentos de encaminhamento, no caso de serem necessárias providências de nível mais elevado, a ser acordada entre as Partes. 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>A Parte reclamante deverá ser notificada imediatamente após a Parte reclamada tiver resolvido a anormalidade. A anormalidade não será considerada solucionada até que a Parte reclamante confirme sua solução.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>As Partes acordam em avaliar a situação das notificações de anormalidades de rede mensalmente a menos que outra periodicidade venha a ser acordada entre as Partes.</w:t>
      </w:r>
    </w:p>
    <w:p w:rsidR="009E130E" w:rsidRPr="00CA05BD" w:rsidRDefault="009E130E" w:rsidP="003C6448">
      <w:pPr>
        <w:pStyle w:val="Anexos"/>
        <w:numPr>
          <w:ilvl w:val="1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 A Parte notificada da anormalidade emitirá um relatório com a situação de todas as notificações do período do relatório. Deverá incluir o contato da reclamante, o tipo, a localização e o nível de prioridade, o órgão responsável pela solução e o prazo para solução (especificando data e horário de recebimento e data e horário de fechamento).</w:t>
      </w:r>
    </w:p>
    <w:p w:rsidR="009E130E" w:rsidRPr="00CA05BD" w:rsidRDefault="009E130E" w:rsidP="003C6448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No caso </w:t>
      </w:r>
      <w:r w:rsidR="00B67CC0" w:rsidRPr="00CA05BD">
        <w:rPr>
          <w:rFonts w:cs="Arial"/>
          <w:szCs w:val="24"/>
        </w:rPr>
        <w:t>de as</w:t>
      </w:r>
      <w:r w:rsidRPr="00CA05BD">
        <w:rPr>
          <w:rFonts w:cs="Arial"/>
          <w:szCs w:val="24"/>
        </w:rPr>
        <w:t xml:space="preserve"> Partes iniciarem o processo de gerenciamento de anormalidades sob o presente Anexo no modo manual (Fax/e-mail), envidarão esforços conjuntos para migrarem para uma interface eletrônica (Terminal), assim que for viável.</w:t>
      </w:r>
    </w:p>
    <w:p w:rsidR="009E130E" w:rsidRPr="00CA05BD" w:rsidRDefault="009E130E" w:rsidP="00B94176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rPr>
          <w:rFonts w:cs="Arial"/>
          <w:szCs w:val="24"/>
        </w:rPr>
      </w:pPr>
      <w:r w:rsidRPr="00CA05BD">
        <w:rPr>
          <w:rFonts w:cs="Arial"/>
          <w:szCs w:val="24"/>
        </w:rPr>
        <w:t xml:space="preserve">As Partes acordam em estabelecer, em um período de até 90 (noventa) dias contados a partir da data da entrada em vigor do presente Anexo, as obrigações em relação à manutenção de serviços e intervalos entre reparos, incluindo medidas de desempenho tais como: tempo médio de reparo, tempo máximo de reparo, falhas repetidas e novas falhas de circuito. </w:t>
      </w:r>
    </w:p>
    <w:p w:rsidR="009E130E" w:rsidRPr="00CA05BD" w:rsidRDefault="009E130E" w:rsidP="00B04699">
      <w:pPr>
        <w:pStyle w:val="Anexos"/>
        <w:numPr>
          <w:ilvl w:val="0"/>
          <w:numId w:val="1"/>
        </w:numPr>
        <w:tabs>
          <w:tab w:val="left" w:pos="426"/>
        </w:tabs>
        <w:suppressAutoHyphens/>
        <w:spacing w:before="240" w:after="120" w:line="360" w:lineRule="auto"/>
        <w:jc w:val="left"/>
        <w:rPr>
          <w:rFonts w:cs="Arial"/>
          <w:szCs w:val="24"/>
        </w:rPr>
      </w:pPr>
      <w:r w:rsidRPr="00CA05BD">
        <w:rPr>
          <w:rFonts w:cs="Arial"/>
          <w:szCs w:val="24"/>
        </w:rPr>
        <w:lastRenderedPageBreak/>
        <w:t>As Partes reconhecem que a manutenção da rede exigirá que as duas Partes coordenem periodicamente testes sistemáticos. As Partes acordam em negociar os mencionados testes, seus métodos e procedimentos, e sua atualização conforme possa ser solicitado periodicamente</w:t>
      </w:r>
      <w:r w:rsidR="00B04699" w:rsidRPr="00CA05BD">
        <w:rPr>
          <w:rFonts w:cs="Arial"/>
          <w:szCs w:val="24"/>
        </w:rPr>
        <w:t xml:space="preserve"> </w:t>
      </w:r>
      <w:r w:rsidRPr="00CA05BD">
        <w:rPr>
          <w:rFonts w:cs="Arial"/>
          <w:szCs w:val="24"/>
        </w:rPr>
        <w:t xml:space="preserve">pela outra Parte. </w:t>
      </w:r>
    </w:p>
    <w:sectPr w:rsidR="009E130E" w:rsidRPr="00CA05BD" w:rsidSect="00A60863">
      <w:headerReference w:type="default" r:id="rId7"/>
      <w:footerReference w:type="default" r:id="rId8"/>
      <w:pgSz w:w="11907" w:h="16840" w:code="9"/>
      <w:pgMar w:top="1701" w:right="1134" w:bottom="1134" w:left="1701" w:header="426" w:footer="2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D13" w:rsidRDefault="00202D13">
      <w:r>
        <w:separator/>
      </w:r>
    </w:p>
  </w:endnote>
  <w:endnote w:type="continuationSeparator" w:id="0">
    <w:p w:rsidR="00202D13" w:rsidRDefault="0020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4699" w:rsidRPr="00CA05BD" w:rsidRDefault="00B04699">
    <w:pPr>
      <w:pStyle w:val="Rodap"/>
      <w:jc w:val="center"/>
      <w:rPr>
        <w:rFonts w:cs="Arial"/>
      </w:rPr>
    </w:pPr>
    <w:r w:rsidRPr="00CA05BD">
      <w:rPr>
        <w:rFonts w:cs="Arial"/>
      </w:rPr>
      <w:t xml:space="preserve">Página </w:t>
    </w:r>
    <w:r w:rsidRPr="00CA05BD">
      <w:rPr>
        <w:rFonts w:cs="Arial"/>
        <w:bCs/>
        <w:sz w:val="24"/>
        <w:szCs w:val="24"/>
      </w:rPr>
      <w:fldChar w:fldCharType="begin"/>
    </w:r>
    <w:r w:rsidRPr="00CA05BD">
      <w:rPr>
        <w:rFonts w:cs="Arial"/>
        <w:bCs/>
      </w:rPr>
      <w:instrText>PAGE</w:instrText>
    </w:r>
    <w:r w:rsidRPr="00CA05BD">
      <w:rPr>
        <w:rFonts w:cs="Arial"/>
        <w:bCs/>
        <w:sz w:val="24"/>
        <w:szCs w:val="24"/>
      </w:rPr>
      <w:fldChar w:fldCharType="separate"/>
    </w:r>
    <w:r w:rsidR="00FC1F7B">
      <w:rPr>
        <w:rFonts w:cs="Arial"/>
        <w:bCs/>
        <w:noProof/>
      </w:rPr>
      <w:t>1</w:t>
    </w:r>
    <w:r w:rsidRPr="00CA05BD">
      <w:rPr>
        <w:rFonts w:cs="Arial"/>
        <w:bCs/>
        <w:sz w:val="24"/>
        <w:szCs w:val="24"/>
      </w:rPr>
      <w:fldChar w:fldCharType="end"/>
    </w:r>
    <w:r w:rsidRPr="00CA05BD">
      <w:rPr>
        <w:rFonts w:cs="Arial"/>
      </w:rPr>
      <w:t xml:space="preserve"> de </w:t>
    </w:r>
    <w:r w:rsidRPr="00CA05BD">
      <w:rPr>
        <w:rFonts w:cs="Arial"/>
        <w:bCs/>
        <w:sz w:val="24"/>
        <w:szCs w:val="24"/>
      </w:rPr>
      <w:fldChar w:fldCharType="begin"/>
    </w:r>
    <w:r w:rsidRPr="00CA05BD">
      <w:rPr>
        <w:rFonts w:cs="Arial"/>
        <w:bCs/>
      </w:rPr>
      <w:instrText>NUMPAGES</w:instrText>
    </w:r>
    <w:r w:rsidRPr="00CA05BD">
      <w:rPr>
        <w:rFonts w:cs="Arial"/>
        <w:bCs/>
        <w:sz w:val="24"/>
        <w:szCs w:val="24"/>
      </w:rPr>
      <w:fldChar w:fldCharType="separate"/>
    </w:r>
    <w:r w:rsidR="00FC1F7B">
      <w:rPr>
        <w:rFonts w:cs="Arial"/>
        <w:bCs/>
        <w:noProof/>
      </w:rPr>
      <w:t>3</w:t>
    </w:r>
    <w:r w:rsidRPr="00CA05BD">
      <w:rPr>
        <w:rFonts w:cs="Arial"/>
        <w:bCs/>
        <w:sz w:val="24"/>
        <w:szCs w:val="24"/>
      </w:rPr>
      <w:fldChar w:fldCharType="end"/>
    </w:r>
  </w:p>
  <w:p w:rsidR="00B04699" w:rsidRDefault="00A60863">
    <w:pPr>
      <w:pStyle w:val="Rodap"/>
      <w:rPr>
        <w:noProof/>
        <w:snapToGrid w:val="0"/>
        <w:sz w:val="16"/>
      </w:rPr>
    </w:pPr>
    <w:r>
      <w:tab/>
    </w:r>
    <w:r>
      <w:tab/>
    </w:r>
  </w:p>
  <w:p w:rsidR="009804E5" w:rsidRDefault="009804E5">
    <w:pPr>
      <w:pStyle w:val="Rodap"/>
      <w:rPr>
        <w:noProof/>
        <w:snapToGrid w:val="0"/>
        <w:sz w:val="16"/>
      </w:rPr>
    </w:pPr>
  </w:p>
  <w:p w:rsidR="009804E5" w:rsidRDefault="009804E5">
    <w:pPr>
      <w:pStyle w:val="Rodap"/>
      <w:rPr>
        <w:noProof/>
        <w:snapToGrid w:val="0"/>
        <w:sz w:val="16"/>
      </w:rPr>
    </w:pPr>
  </w:p>
  <w:p w:rsidR="009804E5" w:rsidRDefault="009804E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D13" w:rsidRDefault="00202D13">
      <w:r>
        <w:separator/>
      </w:r>
    </w:p>
  </w:footnote>
  <w:footnote w:type="continuationSeparator" w:id="0">
    <w:p w:rsidR="00202D13" w:rsidRDefault="0020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4EB" w:rsidRDefault="00E444EB" w:rsidP="00A60863">
    <w:pPr>
      <w:pStyle w:val="Cabealho"/>
      <w:pBdr>
        <w:bottom w:val="single" w:sz="4" w:space="0" w:color="auto"/>
      </w:pBdr>
      <w:rPr>
        <w:noProof/>
      </w:rPr>
    </w:pPr>
  </w:p>
  <w:p w:rsidR="0059300A" w:rsidRDefault="00A60863" w:rsidP="00A60863">
    <w:pPr>
      <w:pStyle w:val="Cabealho"/>
      <w:pBdr>
        <w:bottom w:val="single" w:sz="4" w:space="0" w:color="auto"/>
      </w:pBdr>
      <w:rPr>
        <w:sz w:val="16"/>
        <w:szCs w:val="16"/>
      </w:rPr>
    </w:pPr>
    <w:r>
      <w:rPr>
        <w:sz w:val="16"/>
        <w:szCs w:val="16"/>
      </w:rPr>
      <w:tab/>
    </w:r>
  </w:p>
  <w:p w:rsidR="0059300A" w:rsidRPr="00370D6D" w:rsidRDefault="0059300A" w:rsidP="00293C24">
    <w:pPr>
      <w:pStyle w:val="Cabealho"/>
      <w:pBdr>
        <w:bottom w:val="single" w:sz="4" w:space="0" w:color="auto"/>
      </w:pBdr>
      <w:jc w:val="center"/>
      <w:rPr>
        <w:rFonts w:cs="Arial"/>
        <w:sz w:val="16"/>
        <w:szCs w:val="16"/>
      </w:rPr>
    </w:pPr>
    <w:r w:rsidRPr="00370D6D">
      <w:rPr>
        <w:rFonts w:cs="Arial"/>
        <w:sz w:val="16"/>
        <w:szCs w:val="16"/>
      </w:rPr>
      <w:t xml:space="preserve">ANEXO 8 AO CONTRATO DE INTERCONEXÃO </w:t>
    </w:r>
  </w:p>
  <w:p w:rsidR="0059300A" w:rsidRPr="00370D6D" w:rsidRDefault="00CA05BD" w:rsidP="00BD51E2">
    <w:pPr>
      <w:pStyle w:val="Cabealho"/>
      <w:pBdr>
        <w:bottom w:val="single" w:sz="4" w:space="0" w:color="auto"/>
      </w:pBdr>
      <w:jc w:val="center"/>
      <w:rPr>
        <w:rFonts w:cs="Arial"/>
        <w:sz w:val="16"/>
        <w:szCs w:val="16"/>
      </w:rPr>
    </w:pPr>
    <w:r w:rsidRPr="00370D6D">
      <w:rPr>
        <w:rFonts w:cs="Arial"/>
        <w:sz w:val="16"/>
        <w:szCs w:val="16"/>
      </w:rPr>
      <w:t>PARA TRÁFEGO TELEFÔNICO ENTRE A ALGAR E TELE-XX</w:t>
    </w:r>
  </w:p>
  <w:p w:rsidR="00CA05BD" w:rsidRDefault="00CA05BD" w:rsidP="00BD51E2">
    <w:pPr>
      <w:pStyle w:val="Cabealho"/>
      <w:pBdr>
        <w:bottom w:val="single" w:sz="4" w:space="0" w:color="auto"/>
      </w:pBdr>
      <w:jc w:val="center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93DF4"/>
    <w:multiLevelType w:val="multilevel"/>
    <w:tmpl w:val="87EA7F7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4"/>
        </w:tabs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upperLetter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2CD058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33A6A8F"/>
    <w:multiLevelType w:val="multilevel"/>
    <w:tmpl w:val="3C7CD3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3" w15:restartNumberingAfterBreak="0">
    <w:nsid w:val="3EC41D8F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482E4FC2"/>
    <w:multiLevelType w:val="multilevel"/>
    <w:tmpl w:val="A66E5A8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51C95939"/>
    <w:multiLevelType w:val="multilevel"/>
    <w:tmpl w:val="4E4AC7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upperLetter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fHtpLRDeBhLxlkBaoHAwvcBIdblq9n5NxkAfXroJ3D669yGPPHmhGIOWMQFfdurmSFTPHpEvzu1FkBR1LorZCw==" w:salt="dIOWfQ0SXKp19zXE4toA/w==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34A"/>
    <w:rsid w:val="0009628D"/>
    <w:rsid w:val="000A4D00"/>
    <w:rsid w:val="000C3D8E"/>
    <w:rsid w:val="00107EAC"/>
    <w:rsid w:val="001137E0"/>
    <w:rsid w:val="0018634A"/>
    <w:rsid w:val="00202D13"/>
    <w:rsid w:val="00233F18"/>
    <w:rsid w:val="00253DE0"/>
    <w:rsid w:val="00293C24"/>
    <w:rsid w:val="002D308E"/>
    <w:rsid w:val="002E78A3"/>
    <w:rsid w:val="00310FB9"/>
    <w:rsid w:val="00322CB2"/>
    <w:rsid w:val="00351F0B"/>
    <w:rsid w:val="00370D6D"/>
    <w:rsid w:val="003A1983"/>
    <w:rsid w:val="003C6448"/>
    <w:rsid w:val="003F5412"/>
    <w:rsid w:val="00402101"/>
    <w:rsid w:val="00430137"/>
    <w:rsid w:val="00495797"/>
    <w:rsid w:val="004A2A37"/>
    <w:rsid w:val="0052667A"/>
    <w:rsid w:val="005824F4"/>
    <w:rsid w:val="0059300A"/>
    <w:rsid w:val="005E00B1"/>
    <w:rsid w:val="005F7E8C"/>
    <w:rsid w:val="00652AEF"/>
    <w:rsid w:val="00683BBC"/>
    <w:rsid w:val="006A76AE"/>
    <w:rsid w:val="007B0B70"/>
    <w:rsid w:val="007D706B"/>
    <w:rsid w:val="00824339"/>
    <w:rsid w:val="00836D5F"/>
    <w:rsid w:val="008604A2"/>
    <w:rsid w:val="00867B3B"/>
    <w:rsid w:val="008935DE"/>
    <w:rsid w:val="008A15B7"/>
    <w:rsid w:val="008D428D"/>
    <w:rsid w:val="009804E5"/>
    <w:rsid w:val="009C01C5"/>
    <w:rsid w:val="009D1B64"/>
    <w:rsid w:val="009E130E"/>
    <w:rsid w:val="00A60863"/>
    <w:rsid w:val="00AA7494"/>
    <w:rsid w:val="00B04699"/>
    <w:rsid w:val="00B67CC0"/>
    <w:rsid w:val="00B74A12"/>
    <w:rsid w:val="00B94176"/>
    <w:rsid w:val="00BC0087"/>
    <w:rsid w:val="00BD51E2"/>
    <w:rsid w:val="00C05DCF"/>
    <w:rsid w:val="00C5216E"/>
    <w:rsid w:val="00C61459"/>
    <w:rsid w:val="00C75BB7"/>
    <w:rsid w:val="00CA05BD"/>
    <w:rsid w:val="00D25C19"/>
    <w:rsid w:val="00D53186"/>
    <w:rsid w:val="00D65F1B"/>
    <w:rsid w:val="00DD3ECE"/>
    <w:rsid w:val="00DD5333"/>
    <w:rsid w:val="00DD7621"/>
    <w:rsid w:val="00E35C63"/>
    <w:rsid w:val="00E444EB"/>
    <w:rsid w:val="00F07668"/>
    <w:rsid w:val="00F332B2"/>
    <w:rsid w:val="00F3755C"/>
    <w:rsid w:val="00FC1F7B"/>
    <w:rsid w:val="00FD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spacing w:before="60" w:after="60"/>
      <w:jc w:val="both"/>
      <w:outlineLvl w:val="3"/>
    </w:pPr>
  </w:style>
  <w:style w:type="paragraph" w:styleId="Ttulo5">
    <w:name w:val="heading 5"/>
    <w:basedOn w:val="Normal"/>
    <w:next w:val="Normal"/>
    <w:qFormat/>
    <w:pPr>
      <w:spacing w:before="240" w:after="60"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spacing w:before="240" w:after="60"/>
      <w:jc w:val="both"/>
      <w:outlineLvl w:val="8"/>
    </w:pPr>
    <w:rPr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tulo">
    <w:name w:val="Title"/>
    <w:basedOn w:val="Normal"/>
    <w:qFormat/>
    <w:pPr>
      <w:ind w:left="851" w:hanging="851"/>
      <w:jc w:val="center"/>
    </w:pPr>
    <w:rPr>
      <w:rFonts w:ascii="Times New Roman" w:hAnsi="Times New Roman"/>
      <w:b/>
      <w:sz w:val="32"/>
    </w:rPr>
  </w:style>
  <w:style w:type="paragraph" w:styleId="Textodebalo">
    <w:name w:val="Balloon Text"/>
    <w:basedOn w:val="Normal"/>
    <w:semiHidden/>
    <w:rsid w:val="00D25C19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B04699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8</vt:lpstr>
    </vt:vector>
  </TitlesOfParts>
  <Company>TELEFONICA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8</dc:title>
  <dc:creator>TELEFONICA</dc:creator>
  <cp:lastModifiedBy>Claudia Cristina Ribeiro Macedo</cp:lastModifiedBy>
  <cp:revision>15</cp:revision>
  <cp:lastPrinted>2021-04-01T18:41:00Z</cp:lastPrinted>
  <dcterms:created xsi:type="dcterms:W3CDTF">2015-04-14T14:28:00Z</dcterms:created>
  <dcterms:modified xsi:type="dcterms:W3CDTF">2021-04-01T18:41:00Z</dcterms:modified>
</cp:coreProperties>
</file>