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874" w:rsidRPr="00343C79" w:rsidRDefault="00F40874" w:rsidP="001C329A">
      <w:pPr>
        <w:pStyle w:val="Anexos1"/>
        <w:outlineLvl w:val="0"/>
        <w:rPr>
          <w:rFonts w:cs="Arial"/>
          <w:sz w:val="24"/>
          <w:szCs w:val="24"/>
        </w:rPr>
      </w:pPr>
      <w:bookmarkStart w:id="0" w:name="_GoBack"/>
      <w:bookmarkEnd w:id="0"/>
    </w:p>
    <w:p w:rsidR="008964FD" w:rsidRPr="00343C79" w:rsidRDefault="0007291C" w:rsidP="001C329A">
      <w:pPr>
        <w:pStyle w:val="Anexos1"/>
        <w:outlineLvl w:val="0"/>
        <w:rPr>
          <w:rFonts w:cs="Arial"/>
          <w:sz w:val="24"/>
          <w:szCs w:val="24"/>
        </w:rPr>
      </w:pPr>
      <w:r w:rsidRPr="00343C79">
        <w:rPr>
          <w:rFonts w:cs="Arial"/>
          <w:sz w:val="24"/>
          <w:szCs w:val="24"/>
        </w:rPr>
        <w:t xml:space="preserve"> </w:t>
      </w:r>
      <w:r w:rsidR="008964FD" w:rsidRPr="00343C79">
        <w:rPr>
          <w:rFonts w:cs="Arial"/>
          <w:sz w:val="24"/>
          <w:szCs w:val="24"/>
        </w:rPr>
        <w:t>ANEXO 5</w:t>
      </w:r>
    </w:p>
    <w:p w:rsidR="008964FD" w:rsidRPr="00343C79" w:rsidRDefault="008964FD" w:rsidP="001C329A">
      <w:pPr>
        <w:pStyle w:val="Anexos1"/>
        <w:rPr>
          <w:rFonts w:cs="Arial"/>
          <w:sz w:val="24"/>
          <w:szCs w:val="24"/>
        </w:rPr>
      </w:pPr>
      <w:r w:rsidRPr="00343C79">
        <w:rPr>
          <w:rFonts w:cs="Arial"/>
          <w:sz w:val="24"/>
          <w:szCs w:val="24"/>
        </w:rPr>
        <w:t>PLANEJAMENTO TÉCNICO INTEGRADO</w:t>
      </w:r>
    </w:p>
    <w:p w:rsidR="008964FD" w:rsidRPr="00343C79" w:rsidRDefault="008964FD" w:rsidP="001C329A">
      <w:pPr>
        <w:pStyle w:val="Anexos"/>
        <w:spacing w:line="360" w:lineRule="auto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</w:t>
      </w:r>
    </w:p>
    <w:p w:rsidR="008964FD" w:rsidRPr="00343C79" w:rsidRDefault="008964FD" w:rsidP="00934864">
      <w:pPr>
        <w:pStyle w:val="Anexos"/>
        <w:numPr>
          <w:ilvl w:val="0"/>
          <w:numId w:val="7"/>
        </w:numPr>
        <w:tabs>
          <w:tab w:val="left" w:pos="540"/>
        </w:tabs>
        <w:spacing w:line="360" w:lineRule="auto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>Disposições Gerais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</w:p>
    <w:p w:rsidR="008964FD" w:rsidRPr="00343C79" w:rsidRDefault="0046736A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1.1. As</w:t>
      </w:r>
      <w:r w:rsidR="008964FD" w:rsidRPr="00343C79">
        <w:rPr>
          <w:rFonts w:cs="Arial"/>
          <w:szCs w:val="24"/>
        </w:rPr>
        <w:t xml:space="preserve"> interconexões previstas pelo presente Contrato </w:t>
      </w:r>
      <w:r w:rsidR="00C95CE8" w:rsidRPr="00343C79">
        <w:rPr>
          <w:rFonts w:cs="Arial"/>
          <w:szCs w:val="24"/>
        </w:rPr>
        <w:t>serão objetos de planejamento técnico contínuo e integrados</w:t>
      </w:r>
      <w:r w:rsidR="008964FD" w:rsidRPr="00343C79">
        <w:rPr>
          <w:rFonts w:cs="Arial"/>
          <w:szCs w:val="24"/>
        </w:rPr>
        <w:t xml:space="preserve"> entre as Partes, com o objetivo de atingir e manter níveis adequados de serviço, otimizar o encaminhamento do tráfego e minimizar os custos envolvidos na interconexão.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/>
        <w:rPr>
          <w:rFonts w:cs="Arial"/>
          <w:szCs w:val="24"/>
        </w:rPr>
      </w:pP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1.2</w:t>
      </w:r>
      <w:r w:rsidRPr="00343C79">
        <w:rPr>
          <w:rFonts w:cs="Arial"/>
          <w:szCs w:val="24"/>
        </w:rPr>
        <w:tab/>
        <w:t>As Partes realizarão um Planejamento Técnico Integrado, no sentido de atender as exigências de interconexão, conforme apêndices A e B do presente Anexo 5.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/>
        <w:rPr>
          <w:rFonts w:cs="Arial"/>
          <w:szCs w:val="24"/>
        </w:rPr>
      </w:pP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1.3</w:t>
      </w:r>
      <w:r w:rsidRPr="00343C79">
        <w:rPr>
          <w:rFonts w:cs="Arial"/>
          <w:szCs w:val="24"/>
        </w:rPr>
        <w:tab/>
        <w:t xml:space="preserve">As Partes realizarão reuniões de Planejamento Técnico Integrado, conforme </w:t>
      </w:r>
      <w:r w:rsidR="0046736A" w:rsidRPr="00343C79">
        <w:rPr>
          <w:rFonts w:cs="Arial"/>
          <w:szCs w:val="24"/>
        </w:rPr>
        <w:t>os prazos</w:t>
      </w:r>
      <w:r w:rsidRPr="00343C79">
        <w:rPr>
          <w:rFonts w:cs="Arial"/>
          <w:szCs w:val="24"/>
        </w:rPr>
        <w:t xml:space="preserve"> estabelecidos </w:t>
      </w:r>
      <w:r w:rsidR="00DE2B81" w:rsidRPr="00343C79">
        <w:rPr>
          <w:rFonts w:cs="Arial"/>
          <w:szCs w:val="24"/>
        </w:rPr>
        <w:t>neste Anexo</w:t>
      </w:r>
      <w:r w:rsidRPr="00343C79">
        <w:rPr>
          <w:rFonts w:cs="Arial"/>
          <w:szCs w:val="24"/>
        </w:rPr>
        <w:t xml:space="preserve">, para harmonizar e tornar compatíveis as necessidades comuns das Partes, e estabelecer objetivos comuns de interconexão. 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/>
        <w:rPr>
          <w:rFonts w:cs="Arial"/>
          <w:szCs w:val="24"/>
        </w:rPr>
      </w:pP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1.4</w:t>
      </w:r>
      <w:r w:rsidRPr="00343C79">
        <w:rPr>
          <w:rFonts w:cs="Arial"/>
          <w:szCs w:val="24"/>
        </w:rPr>
        <w:tab/>
        <w:t>As Partes conjuntamente estabelecerão projeções de tráfego e necessidades de enlaces de Interconexão. Estas projeções serão confidenciais e usadas estritamente com o objetivo de planejamento das Interconexões.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/>
        <w:rPr>
          <w:rFonts w:cs="Arial"/>
          <w:szCs w:val="24"/>
        </w:rPr>
      </w:pP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1.5</w:t>
      </w:r>
      <w:r w:rsidRPr="00343C79">
        <w:rPr>
          <w:rFonts w:cs="Arial"/>
          <w:szCs w:val="24"/>
        </w:rPr>
        <w:tab/>
        <w:t xml:space="preserve">As Partes se obrigam a tornar disponíveis as facilidades de Interconexão acordadas nas reuniões de Planejamento Técnico </w:t>
      </w:r>
      <w:r w:rsidR="00C95CE8" w:rsidRPr="00343C79">
        <w:rPr>
          <w:rFonts w:cs="Arial"/>
          <w:szCs w:val="24"/>
        </w:rPr>
        <w:t>Integrado,</w:t>
      </w:r>
      <w:r w:rsidRPr="00343C79">
        <w:rPr>
          <w:rFonts w:cs="Arial"/>
          <w:szCs w:val="24"/>
        </w:rPr>
        <w:t xml:space="preserve"> conforme Apêndice A e B deste Anexo, e o disposto no Anexo 3.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/>
        <w:rPr>
          <w:rFonts w:cs="Arial"/>
          <w:szCs w:val="24"/>
        </w:rPr>
      </w:pPr>
    </w:p>
    <w:p w:rsidR="008964FD" w:rsidRPr="00343C79" w:rsidRDefault="0046736A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1.6. No</w:t>
      </w:r>
      <w:r w:rsidR="008964FD" w:rsidRPr="00343C79">
        <w:rPr>
          <w:rFonts w:cs="Arial"/>
          <w:szCs w:val="24"/>
        </w:rPr>
        <w:t xml:space="preserve"> caso de uma das Partes verificar que o Ponto de Interconexão pertencente à mesma para o qual foi feita uma previsão não possui capacidade de suportar o aumento da demanda de tráfego dentro do período previsto, a referida Parte deverá notificar de pronto a outra Parte e providenciar, imediatamente, uma alternativa aceitável para o atendimento da referida demanda, sem custos </w:t>
      </w:r>
      <w:r w:rsidR="008964FD" w:rsidRPr="00343C79">
        <w:rPr>
          <w:rFonts w:cs="Arial"/>
          <w:szCs w:val="24"/>
        </w:rPr>
        <w:lastRenderedPageBreak/>
        <w:t>adicionais para a outra Parte.</w:t>
      </w:r>
    </w:p>
    <w:p w:rsidR="008964FD" w:rsidRPr="00343C79" w:rsidRDefault="008964FD" w:rsidP="001944B7">
      <w:pPr>
        <w:pStyle w:val="Anexos"/>
        <w:numPr>
          <w:ilvl w:val="2"/>
          <w:numId w:val="8"/>
        </w:numPr>
        <w:tabs>
          <w:tab w:val="clear" w:pos="1288"/>
          <w:tab w:val="left" w:pos="1276"/>
        </w:tabs>
        <w:spacing w:before="240" w:line="360" w:lineRule="auto"/>
        <w:ind w:left="540" w:firstLine="27"/>
        <w:rPr>
          <w:rFonts w:cs="Arial"/>
          <w:szCs w:val="24"/>
        </w:rPr>
      </w:pPr>
      <w:r w:rsidRPr="00343C79">
        <w:rPr>
          <w:rFonts w:cs="Arial"/>
          <w:szCs w:val="24"/>
        </w:rPr>
        <w:t>Na ocorrência da hipótese acima, as Partes deverão, de qualquer forma, manter os prazos de atendimento da demanda de tráfego dentro dos períodos acordados pelas mesmas.</w:t>
      </w:r>
    </w:p>
    <w:p w:rsidR="008964FD" w:rsidRPr="00343C79" w:rsidRDefault="008964FD" w:rsidP="001C329A">
      <w:pPr>
        <w:pStyle w:val="Anexos"/>
        <w:tabs>
          <w:tab w:val="left" w:pos="851"/>
        </w:tabs>
        <w:spacing w:line="360" w:lineRule="auto"/>
        <w:ind w:left="854"/>
        <w:rPr>
          <w:rFonts w:cs="Arial"/>
          <w:szCs w:val="24"/>
        </w:rPr>
      </w:pP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1.7</w:t>
      </w:r>
      <w:r w:rsidRPr="00343C79">
        <w:rPr>
          <w:rFonts w:cs="Arial"/>
          <w:szCs w:val="24"/>
        </w:rPr>
        <w:tab/>
        <w:t>As Partes serão obrigadas a tratar como confidencial todas as informações do Planejamento Técnico Integrado, contidas no presente Anexo e seus Apêndices, na forma determinada na Cláusula Décima</w:t>
      </w:r>
      <w:r w:rsidR="0046736A" w:rsidRPr="00343C79">
        <w:rPr>
          <w:rFonts w:cs="Arial"/>
          <w:szCs w:val="24"/>
        </w:rPr>
        <w:t xml:space="preserve"> Primeira</w:t>
      </w:r>
      <w:r w:rsidRPr="00343C79">
        <w:rPr>
          <w:rFonts w:cs="Arial"/>
          <w:szCs w:val="24"/>
        </w:rPr>
        <w:t xml:space="preserve"> do contrato de Interconexão assinado pelas Partes, a menos que seja, expressamente acordado de outra forma, pelas Partes.</w:t>
      </w:r>
    </w:p>
    <w:p w:rsidR="008964FD" w:rsidRPr="00343C79" w:rsidRDefault="008964FD" w:rsidP="001C329A">
      <w:pPr>
        <w:pStyle w:val="Anexos"/>
        <w:tabs>
          <w:tab w:val="left" w:pos="540"/>
        </w:tabs>
        <w:spacing w:line="360" w:lineRule="auto"/>
        <w:ind w:left="540" w:hanging="567"/>
        <w:rPr>
          <w:rFonts w:cs="Arial"/>
          <w:szCs w:val="24"/>
        </w:rPr>
      </w:pPr>
    </w:p>
    <w:p w:rsidR="008964FD" w:rsidRPr="00343C79" w:rsidRDefault="0046736A" w:rsidP="001C329A">
      <w:pPr>
        <w:pStyle w:val="Anexos"/>
        <w:spacing w:line="360" w:lineRule="auto"/>
        <w:ind w:left="567" w:hanging="567"/>
        <w:rPr>
          <w:rFonts w:cs="Arial"/>
          <w:szCs w:val="24"/>
        </w:rPr>
      </w:pPr>
      <w:r w:rsidRPr="00343C79">
        <w:rPr>
          <w:rFonts w:cs="Arial"/>
          <w:szCs w:val="24"/>
        </w:rPr>
        <w:t>1.8 As</w:t>
      </w:r>
      <w:r w:rsidR="008964FD" w:rsidRPr="00343C79">
        <w:rPr>
          <w:rFonts w:cs="Arial"/>
          <w:szCs w:val="24"/>
        </w:rPr>
        <w:t xml:space="preserve"> Partes acordam que as alterações de Interconexão estabelecidas no processo de Planejamento Técnico Integrado, deverão ser implementadas </w:t>
      </w:r>
      <w:r w:rsidRPr="00343C79">
        <w:rPr>
          <w:rFonts w:cs="Arial"/>
          <w:szCs w:val="24"/>
        </w:rPr>
        <w:t>até o</w:t>
      </w:r>
      <w:r w:rsidR="008964FD" w:rsidRPr="00343C79">
        <w:rPr>
          <w:rFonts w:cs="Arial"/>
          <w:szCs w:val="24"/>
        </w:rPr>
        <w:t xml:space="preserve"> último dia útil do mês previsto para ativação da facilidade no Projeto de Interconexão, em conformidade com o Apêndice </w:t>
      </w:r>
      <w:r w:rsidR="00DE2B81" w:rsidRPr="00343C79">
        <w:rPr>
          <w:rFonts w:cs="Arial"/>
          <w:szCs w:val="24"/>
        </w:rPr>
        <w:t>A</w:t>
      </w:r>
      <w:r w:rsidR="008964FD" w:rsidRPr="00343C79">
        <w:rPr>
          <w:rFonts w:cs="Arial"/>
          <w:szCs w:val="24"/>
        </w:rPr>
        <w:t xml:space="preserve"> deste Anexo.</w:t>
      </w:r>
    </w:p>
    <w:p w:rsidR="00133437" w:rsidRPr="00343C79" w:rsidRDefault="00133437" w:rsidP="00133437">
      <w:pPr>
        <w:pStyle w:val="Anexos1"/>
        <w:jc w:val="left"/>
        <w:outlineLvl w:val="0"/>
        <w:rPr>
          <w:rFonts w:cs="Arial"/>
          <w:sz w:val="24"/>
          <w:szCs w:val="24"/>
        </w:rPr>
      </w:pPr>
    </w:p>
    <w:p w:rsidR="00133437" w:rsidRPr="00343C79" w:rsidRDefault="00133437" w:rsidP="00934864">
      <w:pPr>
        <w:pStyle w:val="Anexos1"/>
        <w:numPr>
          <w:ilvl w:val="0"/>
          <w:numId w:val="7"/>
        </w:numPr>
        <w:jc w:val="left"/>
        <w:outlineLvl w:val="0"/>
        <w:rPr>
          <w:rFonts w:cs="Arial"/>
          <w:sz w:val="24"/>
          <w:szCs w:val="24"/>
        </w:rPr>
      </w:pPr>
      <w:r w:rsidRPr="00343C79">
        <w:rPr>
          <w:rFonts w:cs="Arial"/>
          <w:sz w:val="24"/>
          <w:szCs w:val="24"/>
        </w:rPr>
        <w:t>P</w:t>
      </w:r>
      <w:r w:rsidR="00ED6A7E" w:rsidRPr="00343C79">
        <w:rPr>
          <w:rFonts w:cs="Arial"/>
          <w:sz w:val="24"/>
          <w:szCs w:val="24"/>
        </w:rPr>
        <w:t>rocedimentos de Planejamento Técnico Integrado</w:t>
      </w:r>
      <w:r w:rsidRPr="00343C79">
        <w:rPr>
          <w:rFonts w:cs="Arial"/>
          <w:sz w:val="24"/>
          <w:szCs w:val="24"/>
        </w:rPr>
        <w:t xml:space="preserve"> </w:t>
      </w:r>
    </w:p>
    <w:p w:rsidR="00133437" w:rsidRPr="00343C79" w:rsidRDefault="00133437" w:rsidP="00133437">
      <w:pPr>
        <w:pStyle w:val="Anexos"/>
        <w:tabs>
          <w:tab w:val="left" w:pos="851"/>
        </w:tabs>
        <w:spacing w:line="360" w:lineRule="auto"/>
        <w:ind w:left="284"/>
        <w:rPr>
          <w:rFonts w:cs="Arial"/>
          <w:szCs w:val="24"/>
        </w:rPr>
      </w:pPr>
    </w:p>
    <w:p w:rsidR="00133437" w:rsidRPr="00343C79" w:rsidRDefault="00ED6A7E" w:rsidP="00133437">
      <w:pPr>
        <w:pStyle w:val="Anexos"/>
        <w:tabs>
          <w:tab w:val="left" w:pos="284"/>
        </w:tabs>
        <w:spacing w:before="60" w:after="60" w:line="360" w:lineRule="auto"/>
        <w:outlineLvl w:val="0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>2.1</w:t>
      </w:r>
      <w:r w:rsidR="00133437" w:rsidRPr="00343C79">
        <w:rPr>
          <w:rFonts w:cs="Arial"/>
          <w:b/>
          <w:szCs w:val="24"/>
        </w:rPr>
        <w:t xml:space="preserve">. </w:t>
      </w:r>
      <w:r w:rsidR="00133437" w:rsidRPr="00343C79">
        <w:rPr>
          <w:rFonts w:cs="Arial"/>
          <w:b/>
          <w:szCs w:val="24"/>
        </w:rPr>
        <w:tab/>
        <w:t>OBJETIVO</w:t>
      </w:r>
    </w:p>
    <w:p w:rsidR="00133437" w:rsidRPr="00343C79" w:rsidRDefault="00133437" w:rsidP="00ED6A7E">
      <w:pPr>
        <w:pStyle w:val="Anexos"/>
        <w:tabs>
          <w:tab w:val="left" w:pos="709"/>
        </w:tabs>
        <w:spacing w:before="60" w:after="60" w:line="360" w:lineRule="auto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O objetivo do Planejamento Técnico Integrado é identificar, dimensionar e especificar as rotas de interconexão, bem como tratar de assuntos relativos aos planos estruturais e encaminhamento de tráfego, envolvendo as Redes da </w:t>
      </w:r>
      <w:r w:rsidR="0046736A" w:rsidRPr="00343C79">
        <w:rPr>
          <w:rFonts w:cs="Arial"/>
          <w:szCs w:val="24"/>
          <w:u w:color="FF0000"/>
        </w:rPr>
        <w:t>TELE XX</w:t>
      </w:r>
      <w:r w:rsidRPr="00343C79">
        <w:rPr>
          <w:rFonts w:cs="Arial"/>
          <w:szCs w:val="24"/>
        </w:rPr>
        <w:t xml:space="preserve"> e da </w:t>
      </w:r>
      <w:r w:rsidR="001E31FD" w:rsidRPr="00343C79">
        <w:rPr>
          <w:rFonts w:cs="Arial"/>
          <w:szCs w:val="24"/>
        </w:rPr>
        <w:t>ALGAR</w:t>
      </w:r>
      <w:r w:rsidRPr="00343C79">
        <w:rPr>
          <w:rFonts w:cs="Arial"/>
          <w:szCs w:val="24"/>
        </w:rPr>
        <w:t xml:space="preserve"> TELECOM, considerando-se a topologia das redes existentes e sua evolução.</w:t>
      </w:r>
    </w:p>
    <w:p w:rsidR="00133437" w:rsidRPr="00343C79" w:rsidRDefault="00133437" w:rsidP="00133437">
      <w:pPr>
        <w:pStyle w:val="Anexos"/>
        <w:tabs>
          <w:tab w:val="left" w:pos="709"/>
        </w:tabs>
        <w:spacing w:before="60" w:after="60" w:line="360" w:lineRule="auto"/>
        <w:outlineLvl w:val="0"/>
        <w:rPr>
          <w:rFonts w:cs="Arial"/>
          <w:szCs w:val="24"/>
        </w:rPr>
      </w:pPr>
    </w:p>
    <w:p w:rsidR="00133437" w:rsidRPr="00343C79" w:rsidRDefault="00ED6A7E" w:rsidP="00934864">
      <w:pPr>
        <w:pStyle w:val="Anexos"/>
        <w:numPr>
          <w:ilvl w:val="1"/>
          <w:numId w:val="7"/>
        </w:numPr>
        <w:tabs>
          <w:tab w:val="left" w:pos="284"/>
        </w:tabs>
        <w:spacing w:before="60" w:after="60" w:line="360" w:lineRule="auto"/>
        <w:outlineLvl w:val="0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 xml:space="preserve"> </w:t>
      </w:r>
      <w:r w:rsidR="00133437" w:rsidRPr="00343C79">
        <w:rPr>
          <w:rFonts w:cs="Arial"/>
          <w:b/>
          <w:szCs w:val="24"/>
        </w:rPr>
        <w:t>PROCESSO DE PLANEJAMENTO</w:t>
      </w:r>
    </w:p>
    <w:p w:rsidR="00133437" w:rsidRPr="00343C79" w:rsidRDefault="00ED6A7E" w:rsidP="00133437">
      <w:pPr>
        <w:pStyle w:val="Anexos"/>
        <w:tabs>
          <w:tab w:val="left" w:pos="284"/>
        </w:tabs>
        <w:spacing w:before="60" w:after="60" w:line="360" w:lineRule="auto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2.2.1</w:t>
      </w:r>
      <w:r w:rsidR="00133437" w:rsidRPr="00343C79">
        <w:rPr>
          <w:rFonts w:cs="Arial"/>
          <w:szCs w:val="24"/>
        </w:rPr>
        <w:t xml:space="preserve">   Etapas do processo de Planejamento Técnico Integrado:</w:t>
      </w:r>
    </w:p>
    <w:p w:rsidR="00133437" w:rsidRPr="00343C79" w:rsidRDefault="00ED6A7E" w:rsidP="00133437">
      <w:pPr>
        <w:pStyle w:val="Anexos"/>
        <w:tabs>
          <w:tab w:val="left" w:pos="540"/>
          <w:tab w:val="left" w:pos="1418"/>
        </w:tabs>
        <w:spacing w:before="240" w:after="60" w:line="360" w:lineRule="auto"/>
        <w:ind w:left="1288" w:hanging="72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2.2</w:t>
      </w:r>
      <w:r w:rsidR="00133437" w:rsidRPr="00343C79">
        <w:rPr>
          <w:rFonts w:cs="Arial"/>
          <w:szCs w:val="24"/>
        </w:rPr>
        <w:t>.1</w:t>
      </w:r>
      <w:r w:rsidRPr="00343C79">
        <w:rPr>
          <w:rFonts w:cs="Arial"/>
          <w:szCs w:val="24"/>
        </w:rPr>
        <w:t>.1</w:t>
      </w:r>
      <w:r w:rsidR="00133437" w:rsidRPr="00343C79">
        <w:rPr>
          <w:rFonts w:cs="Arial"/>
          <w:szCs w:val="24"/>
        </w:rPr>
        <w:tab/>
        <w:t>O Planejamento Técnico Integrado deve compreender 2 (</w:t>
      </w:r>
      <w:r w:rsidR="0046736A" w:rsidRPr="00343C79">
        <w:rPr>
          <w:rFonts w:cs="Arial"/>
          <w:szCs w:val="24"/>
        </w:rPr>
        <w:t xml:space="preserve">dois) </w:t>
      </w:r>
      <w:r w:rsidR="00133437" w:rsidRPr="00343C79">
        <w:rPr>
          <w:rFonts w:cs="Arial"/>
          <w:szCs w:val="24"/>
        </w:rPr>
        <w:t>processos distintos e complementares determinados da forma abaixo:</w:t>
      </w:r>
    </w:p>
    <w:p w:rsidR="00133437" w:rsidRPr="00343C79" w:rsidRDefault="00133437" w:rsidP="00133437">
      <w:pPr>
        <w:pStyle w:val="Anexos"/>
        <w:tabs>
          <w:tab w:val="left" w:pos="540"/>
          <w:tab w:val="left" w:pos="1418"/>
        </w:tabs>
        <w:spacing w:before="240" w:after="60" w:line="360" w:lineRule="auto"/>
        <w:ind w:left="568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ab/>
        <w:t>a) Planejamento de Médio Prazo - conterá as perspectivas para um horizonte de 12 (doze) meses.</w:t>
      </w:r>
    </w:p>
    <w:p w:rsidR="00133437" w:rsidRDefault="00133437" w:rsidP="00133437">
      <w:pPr>
        <w:pStyle w:val="Anexos"/>
        <w:tabs>
          <w:tab w:val="left" w:pos="540"/>
          <w:tab w:val="left" w:pos="1418"/>
        </w:tabs>
        <w:spacing w:before="240" w:after="60" w:line="360" w:lineRule="auto"/>
        <w:ind w:left="568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lastRenderedPageBreak/>
        <w:tab/>
        <w:t xml:space="preserve">b) Planejamento de Curto Prazo – conterá projeções de necessidades para um horizonte de </w:t>
      </w:r>
      <w:r w:rsidR="0046736A" w:rsidRPr="00343C79">
        <w:rPr>
          <w:rFonts w:cs="Arial"/>
          <w:szCs w:val="24"/>
        </w:rPr>
        <w:t>12 (</w:t>
      </w:r>
      <w:r w:rsidRPr="00343C79">
        <w:rPr>
          <w:rFonts w:cs="Arial"/>
          <w:szCs w:val="24"/>
        </w:rPr>
        <w:t>doze) meses, a ocorrer em intervalos máximos de 6 (seis) meses.</w:t>
      </w:r>
    </w:p>
    <w:p w:rsidR="00343C79" w:rsidRPr="00343C79" w:rsidRDefault="00343C79" w:rsidP="00133437">
      <w:pPr>
        <w:pStyle w:val="Anexos"/>
        <w:tabs>
          <w:tab w:val="left" w:pos="540"/>
          <w:tab w:val="left" w:pos="1418"/>
        </w:tabs>
        <w:spacing w:before="240" w:after="60" w:line="360" w:lineRule="auto"/>
        <w:ind w:left="568"/>
        <w:outlineLvl w:val="0"/>
        <w:rPr>
          <w:rFonts w:cs="Arial"/>
          <w:szCs w:val="24"/>
        </w:rPr>
      </w:pPr>
    </w:p>
    <w:p w:rsidR="00133437" w:rsidRDefault="0046736A" w:rsidP="00ED6A7E">
      <w:pPr>
        <w:pStyle w:val="Anexos"/>
        <w:spacing w:before="60" w:after="60" w:line="360" w:lineRule="auto"/>
        <w:ind w:left="567" w:hanging="54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2.3 As</w:t>
      </w:r>
      <w:r w:rsidR="00133437" w:rsidRPr="00343C79">
        <w:rPr>
          <w:rFonts w:cs="Arial"/>
          <w:szCs w:val="24"/>
        </w:rPr>
        <w:t xml:space="preserve"> Partes definirão, de comum acordo, na primeira reunião do Planejamento Técnico Integrado, a época e a dinâmica das reuniões, os modelos para projeção de tráfego e dimensionamento das rotas de Interconexão, os quais poderão ser revistos em reuniões subseq</w:t>
      </w:r>
      <w:r w:rsidR="00D27FC0" w:rsidRPr="00343C79">
        <w:rPr>
          <w:rFonts w:cs="Arial"/>
          <w:szCs w:val="24"/>
        </w:rPr>
        <w:t>u</w:t>
      </w:r>
      <w:r w:rsidR="00133437" w:rsidRPr="00343C79">
        <w:rPr>
          <w:rFonts w:cs="Arial"/>
          <w:szCs w:val="24"/>
        </w:rPr>
        <w:t>entes.</w:t>
      </w:r>
    </w:p>
    <w:p w:rsidR="00343C79" w:rsidRPr="00343C79" w:rsidRDefault="00343C79" w:rsidP="00ED6A7E">
      <w:pPr>
        <w:pStyle w:val="Anexos"/>
        <w:spacing w:before="60" w:after="60" w:line="360" w:lineRule="auto"/>
        <w:ind w:left="567" w:hanging="540"/>
        <w:outlineLvl w:val="0"/>
        <w:rPr>
          <w:rFonts w:cs="Arial"/>
          <w:szCs w:val="24"/>
        </w:rPr>
      </w:pPr>
    </w:p>
    <w:p w:rsidR="00133437" w:rsidRDefault="00ED6A7E" w:rsidP="00934864">
      <w:pPr>
        <w:pStyle w:val="Anexos"/>
        <w:numPr>
          <w:ilvl w:val="1"/>
          <w:numId w:val="10"/>
        </w:numPr>
        <w:spacing w:before="60" w:after="60" w:line="360" w:lineRule="auto"/>
        <w:ind w:left="567" w:hanging="567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</w:t>
      </w:r>
      <w:r w:rsidR="00133437" w:rsidRPr="00343C79">
        <w:rPr>
          <w:rFonts w:cs="Arial"/>
          <w:szCs w:val="24"/>
        </w:rPr>
        <w:t>As decisões relativas ao Planejamento Técnico Integrado serão baseadas na melhoria da qualidade dos serviços prestados aos Assinantes e Usuários das Partes e na melhor solução técnica e econômica para as mesmas.</w:t>
      </w:r>
    </w:p>
    <w:p w:rsidR="00343C79" w:rsidRDefault="00343C79" w:rsidP="00343C79">
      <w:pPr>
        <w:pStyle w:val="Anexos"/>
        <w:spacing w:before="60" w:after="60" w:line="360" w:lineRule="auto"/>
        <w:ind w:left="567"/>
        <w:outlineLvl w:val="0"/>
        <w:rPr>
          <w:rFonts w:cs="Arial"/>
          <w:szCs w:val="24"/>
        </w:rPr>
      </w:pPr>
    </w:p>
    <w:p w:rsidR="00133437" w:rsidRPr="00343C79" w:rsidRDefault="00ED6A7E" w:rsidP="00934864">
      <w:pPr>
        <w:pStyle w:val="Anexos"/>
        <w:numPr>
          <w:ilvl w:val="1"/>
          <w:numId w:val="10"/>
        </w:numPr>
        <w:spacing w:before="60" w:after="60" w:line="360" w:lineRule="auto"/>
        <w:ind w:left="567" w:hanging="567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</w:t>
      </w:r>
      <w:r w:rsidR="00133437" w:rsidRPr="00343C79">
        <w:rPr>
          <w:rFonts w:cs="Arial"/>
          <w:szCs w:val="24"/>
        </w:rPr>
        <w:t>As Partes deverão redigir uma ATA, em cada reunião de Planejamento Técnico Integrado, que será assinada por um representante designado por cada Parte e na qual constarão todos os assuntos tratados na referida reunião e à qual serão anexados os documentos técnicos pertinentes. Deverão estar incluídas na Ata de Reunião ou em seus anexos, as posições das Partes, as ações e as datas com que as Partes se comprometeram.</w:t>
      </w:r>
    </w:p>
    <w:p w:rsidR="00133437" w:rsidRPr="00343C79" w:rsidRDefault="0046736A" w:rsidP="00133437">
      <w:pPr>
        <w:pStyle w:val="Anexos"/>
        <w:tabs>
          <w:tab w:val="left" w:pos="540"/>
        </w:tabs>
        <w:spacing w:before="240" w:after="60" w:line="360" w:lineRule="auto"/>
        <w:ind w:left="540" w:hanging="54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2.6 Caso</w:t>
      </w:r>
      <w:r w:rsidR="00133437" w:rsidRPr="00343C79">
        <w:rPr>
          <w:rFonts w:cs="Arial"/>
          <w:szCs w:val="24"/>
        </w:rPr>
        <w:t xml:space="preserve"> as Partes acordem e formalizem, em Ata de Reunião, o dimensionamento de uma determinada rota, fica estabelecido que caso não sejam atingidas as premissas de tráfego assumidas pelas Partes, tal fato não acarretará indenização para qualquer das Partes.</w:t>
      </w:r>
    </w:p>
    <w:p w:rsidR="00133437" w:rsidRPr="00343C79" w:rsidRDefault="00133437" w:rsidP="00934864">
      <w:pPr>
        <w:pStyle w:val="Anexos"/>
        <w:numPr>
          <w:ilvl w:val="1"/>
          <w:numId w:val="11"/>
        </w:numPr>
        <w:spacing w:before="240" w:after="60" w:line="360" w:lineRule="auto"/>
        <w:ind w:left="567" w:hanging="567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Caso as Partes não cheguem </w:t>
      </w:r>
      <w:r w:rsidR="00F10064" w:rsidRPr="00343C79">
        <w:rPr>
          <w:rFonts w:cs="Arial"/>
          <w:szCs w:val="24"/>
        </w:rPr>
        <w:t>a um</w:t>
      </w:r>
      <w:r w:rsidRPr="00343C79">
        <w:rPr>
          <w:rFonts w:cs="Arial"/>
          <w:szCs w:val="24"/>
        </w:rPr>
        <w:t xml:space="preserve"> acordo no dimensionamento de uma rota em particular, qualquer uma das Partes poderá assumir a responsabilidade pelo dimensionamento desta rota, designando-se Parte SOLICITANTE</w:t>
      </w:r>
    </w:p>
    <w:p w:rsidR="00133437" w:rsidRPr="00343C79" w:rsidRDefault="00133437" w:rsidP="00934864">
      <w:pPr>
        <w:pStyle w:val="Anexos"/>
        <w:numPr>
          <w:ilvl w:val="2"/>
          <w:numId w:val="11"/>
        </w:numPr>
        <w:tabs>
          <w:tab w:val="left" w:pos="540"/>
          <w:tab w:val="left" w:pos="1418"/>
        </w:tabs>
        <w:spacing w:before="240" w:after="60" w:line="360" w:lineRule="auto"/>
        <w:ind w:left="1418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O dimensionamento cuja responsabilidade seja assumida por apenas uma das partes, designado UNILATERAL, será implementado, observando-se o disposto nos itens seguintes.</w:t>
      </w:r>
    </w:p>
    <w:p w:rsidR="00133437" w:rsidRPr="00343C79" w:rsidRDefault="00133437" w:rsidP="00934864">
      <w:pPr>
        <w:pStyle w:val="Anexos"/>
        <w:numPr>
          <w:ilvl w:val="2"/>
          <w:numId w:val="11"/>
        </w:numPr>
        <w:tabs>
          <w:tab w:val="left" w:pos="540"/>
          <w:tab w:val="left" w:pos="1418"/>
        </w:tabs>
        <w:spacing w:before="240" w:after="60" w:line="360" w:lineRule="auto"/>
        <w:ind w:left="1418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Este dimensionamento será documentado em Ata de Reunião.</w:t>
      </w:r>
    </w:p>
    <w:p w:rsidR="00133437" w:rsidRPr="00343C79" w:rsidRDefault="00133437" w:rsidP="00934864">
      <w:pPr>
        <w:pStyle w:val="Anexos"/>
        <w:numPr>
          <w:ilvl w:val="2"/>
          <w:numId w:val="11"/>
        </w:numPr>
        <w:tabs>
          <w:tab w:val="left" w:pos="540"/>
          <w:tab w:val="left" w:pos="1418"/>
        </w:tabs>
        <w:spacing w:before="240" w:after="60" w:line="360" w:lineRule="auto"/>
        <w:ind w:left="1418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lastRenderedPageBreak/>
        <w:t>A responsabilidade da Parte SOLICITANTE é limitada à diferença entre o valor por ela dimensionado e o valor proposto pela Parte Solicitada, segundo a seguinte fórmula:</w:t>
      </w:r>
    </w:p>
    <w:p w:rsidR="00133437" w:rsidRPr="00343C79" w:rsidRDefault="00133437" w:rsidP="00133437">
      <w:pPr>
        <w:pStyle w:val="Anexos"/>
        <w:tabs>
          <w:tab w:val="left" w:pos="540"/>
          <w:tab w:val="num" w:pos="1288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D = (N – M);</w:t>
      </w:r>
    </w:p>
    <w:p w:rsidR="00133437" w:rsidRPr="00343C79" w:rsidRDefault="0046736A" w:rsidP="00133437">
      <w:pPr>
        <w:pStyle w:val="Anexos"/>
        <w:tabs>
          <w:tab w:val="left" w:pos="540"/>
          <w:tab w:val="num" w:pos="1288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Onde</w:t>
      </w:r>
      <w:r w:rsidR="00133437" w:rsidRPr="00343C79">
        <w:rPr>
          <w:rFonts w:cs="Arial"/>
          <w:szCs w:val="24"/>
        </w:rPr>
        <w:t>: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D = Diferença de dimensionamento cuja responsabilidade é assumida pela Parte SOLICITANTE;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N = Dimensionamento proposto pela Parte SOLICITANTE;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M = Dimensionamento proposto pela Parte Solicitada.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Sendo: N e M expressos em capacidade máxima de minutos/mês, nesta rota, dentro dos parâmetros de qualidade definidos no Anexo </w:t>
      </w:r>
      <w:r w:rsidR="00F10064" w:rsidRPr="00343C79">
        <w:rPr>
          <w:rFonts w:cs="Arial"/>
          <w:szCs w:val="24"/>
        </w:rPr>
        <w:t>7</w:t>
      </w:r>
      <w:r w:rsidRPr="00343C79">
        <w:rPr>
          <w:rFonts w:cs="Arial"/>
          <w:szCs w:val="24"/>
        </w:rPr>
        <w:t>.</w:t>
      </w:r>
    </w:p>
    <w:p w:rsidR="00133437" w:rsidRPr="00343C79" w:rsidRDefault="00133437" w:rsidP="00934864">
      <w:pPr>
        <w:pStyle w:val="Anexos"/>
        <w:numPr>
          <w:ilvl w:val="2"/>
          <w:numId w:val="11"/>
        </w:numPr>
        <w:tabs>
          <w:tab w:val="left" w:pos="540"/>
          <w:tab w:val="num" w:pos="1418"/>
        </w:tabs>
        <w:spacing w:before="240" w:after="60" w:line="360" w:lineRule="auto"/>
        <w:ind w:left="1418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Caso o tráfego médio medido nesta rota, até o término do 4º (quarto) mês, após a implantação desta expansão, não atinja, no mínimo, o valor definido na fórmula abaixo, a Parte SOLICITANTE deverá pagar à Parte Solicitada o valor definido no item 2.</w:t>
      </w:r>
      <w:r w:rsidR="00602B68" w:rsidRPr="00343C79">
        <w:rPr>
          <w:rFonts w:cs="Arial"/>
          <w:szCs w:val="24"/>
        </w:rPr>
        <w:t>7</w:t>
      </w:r>
      <w:r w:rsidRPr="00343C79">
        <w:rPr>
          <w:rFonts w:cs="Arial"/>
          <w:szCs w:val="24"/>
        </w:rPr>
        <w:t>.5.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T</w:t>
      </w:r>
      <w:r w:rsidRPr="00343C79">
        <w:rPr>
          <w:rFonts w:cs="Arial"/>
          <w:szCs w:val="24"/>
          <w:vertAlign w:val="subscript"/>
        </w:rPr>
        <w:t>m</w:t>
      </w:r>
      <w:r w:rsidRPr="00343C79">
        <w:rPr>
          <w:rFonts w:cs="Arial"/>
          <w:szCs w:val="24"/>
        </w:rPr>
        <w:t xml:space="preserve"> = (M + D/2)</w:t>
      </w:r>
    </w:p>
    <w:p w:rsidR="00133437" w:rsidRPr="00343C79" w:rsidRDefault="0046736A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Onde</w:t>
      </w:r>
      <w:r w:rsidR="00133437" w:rsidRPr="00343C79">
        <w:rPr>
          <w:rFonts w:cs="Arial"/>
          <w:szCs w:val="24"/>
        </w:rPr>
        <w:t>: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T</w:t>
      </w:r>
      <w:r w:rsidRPr="00343C79">
        <w:rPr>
          <w:rFonts w:cs="Arial"/>
          <w:szCs w:val="24"/>
          <w:vertAlign w:val="subscript"/>
        </w:rPr>
        <w:t>m</w:t>
      </w:r>
      <w:r w:rsidRPr="00343C79">
        <w:rPr>
          <w:rFonts w:cs="Arial"/>
          <w:szCs w:val="24"/>
        </w:rPr>
        <w:t xml:space="preserve"> =</w:t>
      </w:r>
      <w:r w:rsidRPr="00343C79">
        <w:rPr>
          <w:rFonts w:cs="Arial"/>
          <w:szCs w:val="24"/>
        </w:rPr>
        <w:tab/>
        <w:t>tráfego mínimo para efeito de penalidade, medido durante trinta dias consecutivos.</w:t>
      </w:r>
    </w:p>
    <w:p w:rsidR="00133437" w:rsidRPr="00343C79" w:rsidRDefault="00133437" w:rsidP="00934864">
      <w:pPr>
        <w:pStyle w:val="Anexos"/>
        <w:numPr>
          <w:ilvl w:val="2"/>
          <w:numId w:val="11"/>
        </w:numPr>
        <w:tabs>
          <w:tab w:val="left" w:pos="540"/>
        </w:tabs>
        <w:spacing w:before="240" w:after="60" w:line="360" w:lineRule="auto"/>
        <w:ind w:left="1418" w:hanging="851"/>
        <w:rPr>
          <w:rFonts w:cs="Arial"/>
          <w:szCs w:val="24"/>
        </w:rPr>
      </w:pPr>
      <w:r w:rsidRPr="00343C79">
        <w:rPr>
          <w:rFonts w:cs="Arial"/>
          <w:szCs w:val="24"/>
        </w:rPr>
        <w:t>O valor a ser pago pela Parte SOLICITANTE à Parte Solicitada, na hipótese do item 2.</w:t>
      </w:r>
      <w:r w:rsidR="00602B68" w:rsidRPr="00343C79">
        <w:rPr>
          <w:rFonts w:cs="Arial"/>
          <w:szCs w:val="24"/>
        </w:rPr>
        <w:t>7</w:t>
      </w:r>
      <w:r w:rsidRPr="00343C79">
        <w:rPr>
          <w:rFonts w:cs="Arial"/>
          <w:szCs w:val="24"/>
        </w:rPr>
        <w:t>.4, a título de indenização, será definido pela seguinte fórmula: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P = (C</w:t>
      </w:r>
      <w:r w:rsidRPr="00343C79">
        <w:rPr>
          <w:rFonts w:cs="Arial"/>
          <w:szCs w:val="24"/>
          <w:vertAlign w:val="subscript"/>
        </w:rPr>
        <w:t>D</w:t>
      </w:r>
      <w:r w:rsidRPr="00343C79">
        <w:rPr>
          <w:rFonts w:cs="Arial"/>
          <w:szCs w:val="24"/>
        </w:rPr>
        <w:t xml:space="preserve"> x I *0.6)</w:t>
      </w:r>
    </w:p>
    <w:p w:rsidR="00133437" w:rsidRPr="00343C79" w:rsidRDefault="0046736A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Onde</w:t>
      </w:r>
      <w:r w:rsidR="00133437" w:rsidRPr="00343C79">
        <w:rPr>
          <w:rFonts w:cs="Arial"/>
          <w:szCs w:val="24"/>
        </w:rPr>
        <w:t>: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P =</w:t>
      </w:r>
      <w:r w:rsidRPr="00343C79">
        <w:rPr>
          <w:rFonts w:cs="Arial"/>
          <w:szCs w:val="24"/>
        </w:rPr>
        <w:tab/>
        <w:t>valor a ser pago pela Parte SOLICITANTE à Parte Solicitada;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C</w:t>
      </w:r>
      <w:r w:rsidRPr="00343C79">
        <w:rPr>
          <w:rFonts w:cs="Arial"/>
          <w:szCs w:val="24"/>
          <w:vertAlign w:val="subscript"/>
        </w:rPr>
        <w:t>D</w:t>
      </w:r>
      <w:r w:rsidRPr="00343C79">
        <w:rPr>
          <w:rFonts w:cs="Arial"/>
          <w:szCs w:val="24"/>
        </w:rPr>
        <w:t xml:space="preserve"> =</w:t>
      </w:r>
      <w:r w:rsidRPr="00343C79">
        <w:rPr>
          <w:rFonts w:cs="Arial"/>
          <w:szCs w:val="24"/>
        </w:rPr>
        <w:tab/>
        <w:t>número de circuitos de 2 Mbps equivalentes de acordo com a fórmula de Erlang, para os parâmetros de qualidade definidos no Anexo 6, para a implementação da expansão de capacidade D;</w:t>
      </w:r>
    </w:p>
    <w:p w:rsidR="00133437" w:rsidRPr="00343C79" w:rsidRDefault="00133437" w:rsidP="00133437">
      <w:pPr>
        <w:pStyle w:val="Anexos"/>
        <w:tabs>
          <w:tab w:val="left" w:pos="540"/>
        </w:tabs>
        <w:spacing w:before="240" w:after="60" w:line="360" w:lineRule="auto"/>
        <w:ind w:left="540"/>
        <w:rPr>
          <w:rFonts w:cs="Arial"/>
          <w:szCs w:val="24"/>
        </w:rPr>
      </w:pPr>
      <w:r w:rsidRPr="00343C79">
        <w:rPr>
          <w:rFonts w:cs="Arial"/>
          <w:szCs w:val="24"/>
        </w:rPr>
        <w:t>I = valor de investimento equivalente por circuito de 2Mbps</w:t>
      </w:r>
    </w:p>
    <w:p w:rsidR="00133437" w:rsidRPr="00343C79" w:rsidRDefault="00E21E74" w:rsidP="00E21E74">
      <w:pPr>
        <w:pStyle w:val="Anexos"/>
        <w:tabs>
          <w:tab w:val="left" w:pos="1276"/>
          <w:tab w:val="left" w:pos="1418"/>
        </w:tabs>
        <w:spacing w:before="240" w:after="60" w:line="360" w:lineRule="auto"/>
        <w:ind w:left="1418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2.7</w:t>
      </w:r>
      <w:r w:rsidR="00133437" w:rsidRPr="00343C79">
        <w:rPr>
          <w:rFonts w:cs="Arial"/>
          <w:szCs w:val="24"/>
        </w:rPr>
        <w:t>.6</w:t>
      </w:r>
      <w:r w:rsidR="00133437" w:rsidRPr="00343C79">
        <w:rPr>
          <w:rFonts w:cs="Arial"/>
          <w:szCs w:val="24"/>
        </w:rPr>
        <w:tab/>
        <w:t xml:space="preserve">O valor de investimento (I) equivalente por circuito de 2 Mbps é acordado entre as partes como sendo </w:t>
      </w:r>
      <w:r w:rsidR="0095678F" w:rsidRPr="00343C79">
        <w:rPr>
          <w:rFonts w:cs="Arial"/>
          <w:szCs w:val="24"/>
        </w:rPr>
        <w:t>o valor de referência publicado na ORPA</w:t>
      </w:r>
      <w:r w:rsidR="00133437" w:rsidRPr="00343C79">
        <w:rPr>
          <w:rFonts w:cs="Arial"/>
          <w:szCs w:val="24"/>
        </w:rPr>
        <w:t>. Este valor será revisto, periodicamente, pelas Partes de forma a refletir eventuais alterações significativas de custos de suas redes.</w:t>
      </w:r>
    </w:p>
    <w:p w:rsidR="00133437" w:rsidRPr="00343C79" w:rsidRDefault="00E21E74" w:rsidP="00934864">
      <w:pPr>
        <w:pStyle w:val="Anexos"/>
        <w:numPr>
          <w:ilvl w:val="3"/>
          <w:numId w:val="12"/>
        </w:numPr>
        <w:tabs>
          <w:tab w:val="left" w:pos="540"/>
        </w:tabs>
        <w:spacing w:before="240" w:after="60" w:line="360" w:lineRule="auto"/>
        <w:ind w:left="2268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 </w:t>
      </w:r>
      <w:r w:rsidR="00133437" w:rsidRPr="00343C79">
        <w:rPr>
          <w:rFonts w:cs="Arial"/>
          <w:szCs w:val="24"/>
        </w:rPr>
        <w:t>Na ocorrência de indenização, conforme o item 2.</w:t>
      </w:r>
      <w:r w:rsidR="00602B68" w:rsidRPr="00343C79">
        <w:rPr>
          <w:rFonts w:cs="Arial"/>
          <w:szCs w:val="24"/>
        </w:rPr>
        <w:t>7</w:t>
      </w:r>
      <w:r w:rsidR="00133437" w:rsidRPr="00343C79">
        <w:rPr>
          <w:rFonts w:cs="Arial"/>
          <w:szCs w:val="24"/>
        </w:rPr>
        <w:t>.5, a parcela de recursos de rede disponibilizada e não utilizada ficará disponível para livre utilização pela Parte proprietária dos recursos.</w:t>
      </w:r>
    </w:p>
    <w:p w:rsidR="00133437" w:rsidRPr="00343C79" w:rsidRDefault="00133437" w:rsidP="00934864">
      <w:pPr>
        <w:pStyle w:val="Anexos"/>
        <w:numPr>
          <w:ilvl w:val="1"/>
          <w:numId w:val="12"/>
        </w:numPr>
        <w:tabs>
          <w:tab w:val="left" w:pos="540"/>
          <w:tab w:val="left" w:pos="2410"/>
        </w:tabs>
        <w:spacing w:before="240" w:after="60" w:line="360" w:lineRule="auto"/>
        <w:ind w:left="567" w:hanging="567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A importância que vier a ser devida, no mês, na forma do item 2.</w:t>
      </w:r>
      <w:r w:rsidR="000A51A1" w:rsidRPr="00343C79">
        <w:rPr>
          <w:rFonts w:cs="Arial"/>
          <w:szCs w:val="24"/>
        </w:rPr>
        <w:t>7</w:t>
      </w:r>
      <w:r w:rsidRPr="00343C79">
        <w:rPr>
          <w:rFonts w:cs="Arial"/>
          <w:szCs w:val="24"/>
        </w:rPr>
        <w:t xml:space="preserve">, será paga mediante depósito na conta bancária da Parte credora no mês seguinte ao da comprovação. </w:t>
      </w:r>
    </w:p>
    <w:p w:rsidR="003811ED" w:rsidRPr="00343C79" w:rsidRDefault="003811ED" w:rsidP="003811ED">
      <w:pPr>
        <w:pStyle w:val="Anexos"/>
        <w:tabs>
          <w:tab w:val="left" w:pos="540"/>
          <w:tab w:val="left" w:pos="2410"/>
        </w:tabs>
        <w:spacing w:before="240" w:after="60" w:line="360" w:lineRule="auto"/>
        <w:ind w:left="567"/>
        <w:outlineLvl w:val="0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0"/>
          <w:numId w:val="6"/>
        </w:numPr>
        <w:spacing w:before="60" w:after="60" w:line="360" w:lineRule="auto"/>
        <w:outlineLvl w:val="0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 xml:space="preserve">PLANEJAMENTO DE MÉDIO PRAZO </w:t>
      </w:r>
    </w:p>
    <w:p w:rsidR="00133437" w:rsidRPr="00343C79" w:rsidRDefault="00133437" w:rsidP="00133437">
      <w:pPr>
        <w:pStyle w:val="Anexos"/>
        <w:spacing w:before="60" w:after="60" w:line="360" w:lineRule="auto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3.1 Abrangência:</w:t>
      </w:r>
    </w:p>
    <w:p w:rsidR="00133437" w:rsidRPr="00343C79" w:rsidRDefault="00133437" w:rsidP="00133437">
      <w:pPr>
        <w:pStyle w:val="Anexos"/>
        <w:spacing w:before="60" w:after="60" w:line="360" w:lineRule="auto"/>
        <w:ind w:left="36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     O Planejamento de Médio Prazo referido no item 2.</w:t>
      </w:r>
      <w:r w:rsidR="00696A1E" w:rsidRPr="00343C79">
        <w:rPr>
          <w:rFonts w:cs="Arial"/>
          <w:szCs w:val="24"/>
        </w:rPr>
        <w:t>2.</w:t>
      </w:r>
      <w:r w:rsidRPr="00343C79">
        <w:rPr>
          <w:rFonts w:cs="Arial"/>
          <w:szCs w:val="24"/>
        </w:rPr>
        <w:t>1.1, letra “a” acima deverá tratar, dentre outros, dos seguintes assuntos:</w:t>
      </w:r>
    </w:p>
    <w:p w:rsidR="00133437" w:rsidRPr="00343C79" w:rsidRDefault="00133437" w:rsidP="00934864">
      <w:pPr>
        <w:pStyle w:val="Anexos"/>
        <w:numPr>
          <w:ilvl w:val="0"/>
          <w:numId w:val="1"/>
        </w:numPr>
        <w:tabs>
          <w:tab w:val="left" w:pos="709"/>
          <w:tab w:val="num" w:pos="106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Informações sobre as modificações nos planos estruturais das redes de ambas as Partes, que afetam a interconexão;</w:t>
      </w:r>
    </w:p>
    <w:p w:rsidR="00133437" w:rsidRPr="00343C79" w:rsidRDefault="00133437" w:rsidP="00934864">
      <w:pPr>
        <w:pStyle w:val="Anexos"/>
        <w:numPr>
          <w:ilvl w:val="0"/>
          <w:numId w:val="1"/>
        </w:numPr>
        <w:tabs>
          <w:tab w:val="left" w:pos="709"/>
          <w:tab w:val="num" w:pos="106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Informações sobre evoluções tecnológicas que possam afetar a Interconexão;</w:t>
      </w:r>
    </w:p>
    <w:p w:rsidR="00133437" w:rsidRDefault="00133437" w:rsidP="00934864">
      <w:pPr>
        <w:pStyle w:val="Anexos"/>
        <w:numPr>
          <w:ilvl w:val="0"/>
          <w:numId w:val="1"/>
        </w:numPr>
        <w:tabs>
          <w:tab w:val="left" w:pos="709"/>
          <w:tab w:val="num" w:pos="106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Previsões de implantação de novos Pontos de Interconexão e Pontos de Presença de Interconexão;</w:t>
      </w:r>
    </w:p>
    <w:p w:rsidR="00343C79" w:rsidRPr="00343C79" w:rsidRDefault="00343C79" w:rsidP="00343C79">
      <w:pPr>
        <w:pStyle w:val="Anexos"/>
        <w:tabs>
          <w:tab w:val="left" w:pos="709"/>
          <w:tab w:val="num" w:pos="1069"/>
        </w:tabs>
        <w:spacing w:before="60" w:after="60" w:line="360" w:lineRule="auto"/>
        <w:ind w:left="1069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1"/>
          <w:numId w:val="3"/>
        </w:numPr>
        <w:tabs>
          <w:tab w:val="clear" w:pos="360"/>
        </w:tabs>
        <w:spacing w:before="60" w:after="60" w:line="360" w:lineRule="auto"/>
        <w:ind w:left="851" w:hanging="851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Periodicidade:</w:t>
      </w:r>
    </w:p>
    <w:p w:rsidR="00133437" w:rsidRDefault="00133437" w:rsidP="00133437">
      <w:pPr>
        <w:pStyle w:val="Anexos"/>
        <w:spacing w:before="60" w:after="60" w:line="360" w:lineRule="auto"/>
        <w:ind w:left="993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As reuniões de Planejamento de Médio Prazo deverão ser realizadas, em princípio, 1 (uma) vez por ano, devendo coincidir com a reunião de Planejamento de Curto Prazo. A cada ano, as Partes deverão confirmar, com uma antecedência de 30 (trinta) dias, a oportunidade da reunião, considerando a pertinência dos assuntos a serem abordados, enviando uma proposta de agenda com os dados inerentes a cada um dos tópicos a serem discutidos.</w:t>
      </w:r>
    </w:p>
    <w:p w:rsidR="00343C79" w:rsidRPr="00343C79" w:rsidRDefault="00343C79" w:rsidP="00133437">
      <w:pPr>
        <w:pStyle w:val="Anexos"/>
        <w:spacing w:before="60" w:after="60" w:line="360" w:lineRule="auto"/>
        <w:ind w:left="993"/>
        <w:outlineLvl w:val="0"/>
        <w:rPr>
          <w:rFonts w:cs="Arial"/>
          <w:szCs w:val="24"/>
        </w:rPr>
      </w:pPr>
    </w:p>
    <w:p w:rsidR="00133437" w:rsidRDefault="00133437" w:rsidP="00343C79">
      <w:pPr>
        <w:pStyle w:val="Anexos"/>
        <w:numPr>
          <w:ilvl w:val="0"/>
          <w:numId w:val="6"/>
        </w:numPr>
        <w:tabs>
          <w:tab w:val="left" w:pos="0"/>
        </w:tabs>
        <w:spacing w:before="60" w:after="60" w:line="360" w:lineRule="auto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>PLANEJAMENTO DE CURTO PRAZO</w:t>
      </w:r>
    </w:p>
    <w:p w:rsidR="00343C79" w:rsidRPr="00343C79" w:rsidRDefault="00343C79" w:rsidP="00343C79">
      <w:pPr>
        <w:pStyle w:val="Anexos"/>
        <w:tabs>
          <w:tab w:val="left" w:pos="0"/>
        </w:tabs>
        <w:spacing w:before="60" w:after="60" w:line="360" w:lineRule="auto"/>
        <w:ind w:left="360"/>
        <w:rPr>
          <w:rFonts w:cs="Arial"/>
          <w:b/>
          <w:szCs w:val="24"/>
        </w:rPr>
      </w:pPr>
    </w:p>
    <w:p w:rsidR="00133437" w:rsidRPr="00343C79" w:rsidRDefault="00133437" w:rsidP="00934864">
      <w:pPr>
        <w:pStyle w:val="Anexos"/>
        <w:numPr>
          <w:ilvl w:val="1"/>
          <w:numId w:val="4"/>
        </w:numPr>
        <w:tabs>
          <w:tab w:val="clear" w:pos="644"/>
          <w:tab w:val="num" w:pos="0"/>
        </w:tabs>
        <w:spacing w:before="60" w:after="60" w:line="360" w:lineRule="auto"/>
        <w:ind w:hanging="644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Considerações para a elaboração do Planejamento Técnico Integrado:</w:t>
      </w:r>
    </w:p>
    <w:p w:rsidR="00133437" w:rsidRDefault="00133437" w:rsidP="00133437">
      <w:pPr>
        <w:pStyle w:val="Anexos"/>
        <w:spacing w:before="60" w:after="60" w:line="360" w:lineRule="auto"/>
        <w:ind w:left="284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As Partes apresentarão, as informações necessárias e suficientes ao planejamento das interconexões, sob condições e na forma da Cláusula de Confidencialidade, como se segue:</w:t>
      </w:r>
    </w:p>
    <w:p w:rsidR="00343C79" w:rsidRPr="00343C79" w:rsidRDefault="00343C79" w:rsidP="00133437">
      <w:pPr>
        <w:pStyle w:val="Anexos"/>
        <w:spacing w:before="60" w:after="60" w:line="360" w:lineRule="auto"/>
        <w:ind w:left="284"/>
        <w:outlineLvl w:val="0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2"/>
          <w:numId w:val="4"/>
        </w:numPr>
        <w:tabs>
          <w:tab w:val="left" w:pos="1418"/>
        </w:tabs>
        <w:spacing w:before="60" w:after="60" w:line="360" w:lineRule="auto"/>
        <w:ind w:left="1418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Histórico do volume de tráfego nos Pontos de Interconexão existentes, pelo período de existência da interconexão, limitado aos últimos 12 (doze) meses;</w:t>
      </w:r>
    </w:p>
    <w:p w:rsidR="00133437" w:rsidRDefault="00133437" w:rsidP="00133437">
      <w:pPr>
        <w:pStyle w:val="Anexos"/>
        <w:tabs>
          <w:tab w:val="left" w:pos="1418"/>
        </w:tabs>
        <w:spacing w:before="60" w:after="60" w:line="360" w:lineRule="auto"/>
        <w:ind w:left="709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Redistribuição percentual do tráfego originado e destinado às redes da </w:t>
      </w:r>
      <w:r w:rsidR="001E31FD" w:rsidRPr="00343C79">
        <w:rPr>
          <w:rFonts w:cs="Arial"/>
          <w:szCs w:val="24"/>
        </w:rPr>
        <w:t xml:space="preserve">ALGAR </w:t>
      </w:r>
      <w:r w:rsidRPr="00343C79">
        <w:rPr>
          <w:rFonts w:cs="Arial"/>
          <w:szCs w:val="24"/>
        </w:rPr>
        <w:t xml:space="preserve">TELECOM e </w:t>
      </w:r>
      <w:r w:rsidR="008E656F" w:rsidRPr="00343C79">
        <w:rPr>
          <w:rFonts w:cs="Arial"/>
          <w:szCs w:val="24"/>
        </w:rPr>
        <w:t>TELE XX</w:t>
      </w:r>
      <w:r w:rsidRPr="00343C79">
        <w:rPr>
          <w:rFonts w:cs="Arial"/>
          <w:szCs w:val="24"/>
        </w:rPr>
        <w:t>, distribuídos em áreas de abrangência por Ponto de Interconexão, nos casos em que houver alterações nos Pontos de Interconexão ou Pontos de Presença de Interconexão;</w:t>
      </w:r>
    </w:p>
    <w:p w:rsidR="00343C79" w:rsidRPr="00343C79" w:rsidRDefault="00343C79" w:rsidP="00133437">
      <w:pPr>
        <w:pStyle w:val="Anexos"/>
        <w:tabs>
          <w:tab w:val="left" w:pos="1418"/>
        </w:tabs>
        <w:spacing w:before="60" w:after="60" w:line="360" w:lineRule="auto"/>
        <w:ind w:left="709"/>
        <w:outlineLvl w:val="0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1"/>
          <w:numId w:val="4"/>
        </w:numPr>
        <w:tabs>
          <w:tab w:val="clear" w:pos="644"/>
          <w:tab w:val="num" w:pos="0"/>
          <w:tab w:val="left" w:pos="660"/>
        </w:tabs>
        <w:spacing w:before="60" w:after="60" w:line="360" w:lineRule="auto"/>
        <w:ind w:left="0" w:firstLine="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Abrangência:</w:t>
      </w:r>
    </w:p>
    <w:p w:rsidR="00133437" w:rsidRPr="00343C79" w:rsidRDefault="00133437" w:rsidP="00133437">
      <w:pPr>
        <w:pStyle w:val="Anexos"/>
        <w:tabs>
          <w:tab w:val="left" w:pos="1418"/>
        </w:tabs>
        <w:spacing w:before="60" w:after="60" w:line="360" w:lineRule="auto"/>
        <w:ind w:left="284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      O Planejamento de Curto Prazo referido no item 2.</w:t>
      </w:r>
      <w:r w:rsidR="004748A7" w:rsidRPr="00343C79">
        <w:rPr>
          <w:rFonts w:cs="Arial"/>
          <w:szCs w:val="24"/>
        </w:rPr>
        <w:t>2.</w:t>
      </w:r>
      <w:r w:rsidRPr="00343C79">
        <w:rPr>
          <w:rFonts w:cs="Arial"/>
          <w:szCs w:val="24"/>
        </w:rPr>
        <w:t>1.1, letra “b” acima deverá tratar, dentre outros, dos seguintes itens: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Identificação dos POI e PPI.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Diagramas de Entroncamento.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Diagrama de Sinalização SCC#7.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Tráfego Originado e Terminado.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Quantidade/Tipo de Enlaces digitais por rota.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Tipo de Sinalização e respectivos códigos/Quantidade de Terminais de sinalização, quando aplicável.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Plano de Encaminhamento e informações sobre os códigos a serem enviados através de cada Ponto de Interconexão.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Prazo para tornar disponíveis as facilidades.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Plano de Numeração.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Características de Sincronismo.</w:t>
      </w:r>
    </w:p>
    <w:p w:rsidR="00133437" w:rsidRPr="00343C79" w:rsidRDefault="00133437" w:rsidP="00934864">
      <w:pPr>
        <w:pStyle w:val="Anexos"/>
        <w:numPr>
          <w:ilvl w:val="0"/>
          <w:numId w:val="2"/>
        </w:numPr>
        <w:tabs>
          <w:tab w:val="left" w:pos="709"/>
        </w:tabs>
        <w:spacing w:before="60" w:after="60" w:line="360" w:lineRule="auto"/>
        <w:ind w:left="1069"/>
        <w:rPr>
          <w:rFonts w:cs="Arial"/>
          <w:szCs w:val="24"/>
        </w:rPr>
      </w:pPr>
      <w:r w:rsidRPr="00343C79">
        <w:rPr>
          <w:rFonts w:cs="Arial"/>
          <w:szCs w:val="24"/>
        </w:rPr>
        <w:t>Necessidades de Bilhetagem.</w:t>
      </w:r>
    </w:p>
    <w:p w:rsidR="00133437" w:rsidRPr="00343C79" w:rsidRDefault="00133437" w:rsidP="00934864">
      <w:pPr>
        <w:pStyle w:val="Anexos"/>
        <w:numPr>
          <w:ilvl w:val="1"/>
          <w:numId w:val="4"/>
        </w:numPr>
        <w:tabs>
          <w:tab w:val="clear" w:pos="644"/>
          <w:tab w:val="num" w:pos="220"/>
        </w:tabs>
        <w:spacing w:before="60" w:after="60" w:line="360" w:lineRule="auto"/>
        <w:ind w:left="0" w:firstLine="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Periodicidade</w:t>
      </w:r>
    </w:p>
    <w:p w:rsidR="00133437" w:rsidRPr="00343C79" w:rsidRDefault="00133437" w:rsidP="00934864">
      <w:pPr>
        <w:pStyle w:val="Anexos"/>
        <w:numPr>
          <w:ilvl w:val="2"/>
          <w:numId w:val="4"/>
        </w:numPr>
        <w:tabs>
          <w:tab w:val="left" w:pos="540"/>
          <w:tab w:val="left" w:pos="1560"/>
        </w:tabs>
        <w:spacing w:before="240" w:line="360" w:lineRule="auto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As reuniões de Planejamento de Curto Prazo deverão ser realizadas em intervalos máximos de 6 (seis) meses, quando deverão ser atualizadas as projeções dos entroncamentos para os próximos 12 (doze) meses.</w:t>
      </w:r>
    </w:p>
    <w:p w:rsidR="00133437" w:rsidRPr="00343C79" w:rsidRDefault="00133437" w:rsidP="00133437">
      <w:pPr>
        <w:pStyle w:val="Anexos"/>
        <w:spacing w:before="60" w:after="60" w:line="360" w:lineRule="auto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4.4 Fases do Processo</w:t>
      </w:r>
    </w:p>
    <w:p w:rsidR="00133437" w:rsidRPr="00343C79" w:rsidRDefault="00133437" w:rsidP="00133437">
      <w:pPr>
        <w:pStyle w:val="Anexos"/>
        <w:spacing w:before="60" w:after="60" w:line="360" w:lineRule="auto"/>
        <w:ind w:left="284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         Planejamento de Curto Prazo deverá observar as seguintes fases:</w:t>
      </w:r>
    </w:p>
    <w:p w:rsidR="00133437" w:rsidRPr="00343C79" w:rsidRDefault="00133437" w:rsidP="00934864">
      <w:pPr>
        <w:pStyle w:val="Anexos"/>
        <w:numPr>
          <w:ilvl w:val="2"/>
          <w:numId w:val="9"/>
        </w:numPr>
        <w:tabs>
          <w:tab w:val="clear" w:pos="720"/>
          <w:tab w:val="num" w:pos="1430"/>
        </w:tabs>
        <w:spacing w:before="60" w:after="60" w:line="360" w:lineRule="auto"/>
        <w:ind w:left="1430" w:hanging="77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Convocação de reunião, por iniciativa de qualquer uma das Partes, com indicação do local e data da mesma, a ser aprovada pela parte convocada;</w:t>
      </w:r>
    </w:p>
    <w:p w:rsidR="00133437" w:rsidRPr="00343C79" w:rsidRDefault="00133437" w:rsidP="00934864">
      <w:pPr>
        <w:pStyle w:val="Anexos"/>
        <w:numPr>
          <w:ilvl w:val="2"/>
          <w:numId w:val="9"/>
        </w:numPr>
        <w:tabs>
          <w:tab w:val="left" w:pos="1418"/>
        </w:tabs>
        <w:spacing w:before="60" w:after="60" w:line="360" w:lineRule="auto"/>
        <w:ind w:left="1418" w:hanging="709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Confirmação da data e local da reunião pela Parte convocada em até 5 (cinco) dias úteis a partir do recebimento da convocação;</w:t>
      </w:r>
    </w:p>
    <w:p w:rsidR="00133437" w:rsidRPr="00343C79" w:rsidRDefault="00133437" w:rsidP="00934864">
      <w:pPr>
        <w:pStyle w:val="Anexos"/>
        <w:numPr>
          <w:ilvl w:val="2"/>
          <w:numId w:val="9"/>
        </w:numPr>
        <w:tabs>
          <w:tab w:val="left" w:pos="1418"/>
        </w:tabs>
        <w:spacing w:before="60" w:after="60" w:line="360" w:lineRule="auto"/>
        <w:ind w:left="1418" w:hanging="709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Envio das necessidades de Interconexão com 20 (</w:t>
      </w:r>
      <w:r w:rsidR="008E656F" w:rsidRPr="00343C79">
        <w:rPr>
          <w:rFonts w:cs="Arial"/>
          <w:szCs w:val="24"/>
        </w:rPr>
        <w:t>vinte) dias</w:t>
      </w:r>
      <w:r w:rsidRPr="00343C79">
        <w:rPr>
          <w:rFonts w:cs="Arial"/>
          <w:szCs w:val="24"/>
        </w:rPr>
        <w:t xml:space="preserve"> de antecedência à data da reunião;    </w:t>
      </w:r>
    </w:p>
    <w:p w:rsidR="00133437" w:rsidRPr="00343C79" w:rsidRDefault="00133437" w:rsidP="00934864">
      <w:pPr>
        <w:pStyle w:val="Anexos"/>
        <w:numPr>
          <w:ilvl w:val="2"/>
          <w:numId w:val="9"/>
        </w:numPr>
        <w:tabs>
          <w:tab w:val="left" w:pos="1418"/>
        </w:tabs>
        <w:spacing w:before="60" w:after="60" w:line="360" w:lineRule="auto"/>
        <w:ind w:left="1418" w:hanging="709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 xml:space="preserve">Reunião para análise das informações e elaboração do Projeto de Interconexão conforme apresentado no Apêndice </w:t>
      </w:r>
      <w:r w:rsidR="004748A7" w:rsidRPr="00343C79">
        <w:rPr>
          <w:rFonts w:cs="Arial"/>
          <w:szCs w:val="24"/>
        </w:rPr>
        <w:t>A</w:t>
      </w:r>
      <w:r w:rsidRPr="00343C79">
        <w:rPr>
          <w:rFonts w:cs="Arial"/>
          <w:szCs w:val="24"/>
        </w:rPr>
        <w:t>, a ser realizada em até 20 (vinte) dias da data da convocação;</w:t>
      </w:r>
    </w:p>
    <w:p w:rsidR="00133437" w:rsidRPr="00343C79" w:rsidRDefault="00133437" w:rsidP="00934864">
      <w:pPr>
        <w:pStyle w:val="Anexos"/>
        <w:numPr>
          <w:ilvl w:val="2"/>
          <w:numId w:val="9"/>
        </w:numPr>
        <w:tabs>
          <w:tab w:val="left" w:pos="1418"/>
        </w:tabs>
        <w:spacing w:before="60" w:after="60" w:line="360" w:lineRule="auto"/>
        <w:ind w:left="1418" w:hanging="709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Lavratura de Ata de Reunião conforme previsto no item 2.</w:t>
      </w:r>
      <w:r w:rsidR="005656A2" w:rsidRPr="00343C79">
        <w:rPr>
          <w:rFonts w:cs="Arial"/>
          <w:szCs w:val="24"/>
        </w:rPr>
        <w:t>5</w:t>
      </w:r>
      <w:r w:rsidRPr="00343C79">
        <w:rPr>
          <w:rFonts w:cs="Arial"/>
          <w:szCs w:val="24"/>
        </w:rPr>
        <w:t xml:space="preserve"> deste A</w:t>
      </w:r>
      <w:r w:rsidR="004E74D2" w:rsidRPr="00343C79">
        <w:rPr>
          <w:rFonts w:cs="Arial"/>
          <w:szCs w:val="24"/>
        </w:rPr>
        <w:t>nexo</w:t>
      </w:r>
      <w:r w:rsidRPr="00343C79">
        <w:rPr>
          <w:rFonts w:cs="Arial"/>
          <w:szCs w:val="24"/>
        </w:rPr>
        <w:t>;</w:t>
      </w:r>
    </w:p>
    <w:p w:rsidR="00010D52" w:rsidRPr="00343C79" w:rsidRDefault="00010D52" w:rsidP="00010D52">
      <w:pPr>
        <w:pStyle w:val="Anexos"/>
        <w:tabs>
          <w:tab w:val="left" w:pos="1418"/>
        </w:tabs>
        <w:spacing w:before="60" w:after="60" w:line="360" w:lineRule="auto"/>
        <w:outlineLvl w:val="0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0"/>
          <w:numId w:val="5"/>
        </w:numPr>
        <w:tabs>
          <w:tab w:val="left" w:pos="1418"/>
        </w:tabs>
        <w:spacing w:before="60" w:after="60" w:line="360" w:lineRule="auto"/>
        <w:ind w:right="-30"/>
        <w:outlineLvl w:val="0"/>
        <w:rPr>
          <w:rFonts w:cs="Arial"/>
          <w:b/>
          <w:szCs w:val="24"/>
        </w:rPr>
      </w:pPr>
      <w:r w:rsidRPr="00343C79">
        <w:rPr>
          <w:rFonts w:cs="Arial"/>
          <w:b/>
          <w:szCs w:val="24"/>
        </w:rPr>
        <w:t xml:space="preserve">      SITUAÇÕES ESPECIAIS</w:t>
      </w:r>
    </w:p>
    <w:p w:rsidR="00133437" w:rsidRPr="00343C79" w:rsidRDefault="00133437" w:rsidP="00934864">
      <w:pPr>
        <w:pStyle w:val="Anexos"/>
        <w:numPr>
          <w:ilvl w:val="1"/>
          <w:numId w:val="5"/>
        </w:numPr>
        <w:spacing w:before="60" w:after="60" w:line="360" w:lineRule="auto"/>
        <w:ind w:right="-3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Na ocorrência de eventos não previstos nos ciclos de planejamento, tais como, significativas variações de tráfego e/ou demanda, e de desempenho de ambas as redes, serão convocadas, por qualquer das Partes, reuniões extraordinárias com o objetivo de encontrar soluções imediatas e comuns, bem como, definir os prazos necessários para a manutenção dos padrões de qualidade dos serviços prestados.</w:t>
      </w:r>
    </w:p>
    <w:p w:rsidR="00010D52" w:rsidRPr="00343C79" w:rsidRDefault="00010D52" w:rsidP="00010D52">
      <w:pPr>
        <w:pStyle w:val="Anexos"/>
        <w:spacing w:before="60" w:after="60" w:line="360" w:lineRule="auto"/>
        <w:ind w:right="-30"/>
        <w:outlineLvl w:val="0"/>
        <w:rPr>
          <w:rFonts w:cs="Arial"/>
          <w:szCs w:val="24"/>
        </w:rPr>
      </w:pPr>
    </w:p>
    <w:p w:rsidR="00133437" w:rsidRPr="00343C79" w:rsidRDefault="00133437" w:rsidP="00934864">
      <w:pPr>
        <w:pStyle w:val="Anexos"/>
        <w:numPr>
          <w:ilvl w:val="2"/>
          <w:numId w:val="5"/>
        </w:numPr>
        <w:tabs>
          <w:tab w:val="clear" w:pos="720"/>
          <w:tab w:val="num" w:pos="1430"/>
        </w:tabs>
        <w:spacing w:before="60" w:after="60" w:line="360" w:lineRule="auto"/>
        <w:ind w:left="1430" w:hanging="77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A Parte convocada se obriga a realizar a reunião em até 15 (quinze) dias a partir da data da convocação da mesma.</w:t>
      </w:r>
    </w:p>
    <w:p w:rsidR="008964FD" w:rsidRPr="00343C79" w:rsidRDefault="00133437" w:rsidP="003811ED">
      <w:pPr>
        <w:pStyle w:val="Anexos"/>
        <w:numPr>
          <w:ilvl w:val="1"/>
          <w:numId w:val="5"/>
        </w:numPr>
        <w:spacing w:before="60" w:after="60" w:line="360" w:lineRule="auto"/>
        <w:ind w:right="-30"/>
        <w:outlineLvl w:val="0"/>
        <w:rPr>
          <w:rFonts w:cs="Arial"/>
          <w:szCs w:val="24"/>
        </w:rPr>
      </w:pPr>
      <w:r w:rsidRPr="00343C79">
        <w:rPr>
          <w:rFonts w:cs="Arial"/>
          <w:szCs w:val="24"/>
        </w:rPr>
        <w:t>Na ocorrência em que o tráfego originado / destinado a uma determinada rota local, for igual ou superior a 16,3 Erl, as Partes deverão abrir rotas diretas entre as suas centrais.</w:t>
      </w:r>
    </w:p>
    <w:sectPr w:rsidR="008964FD" w:rsidRPr="00343C79" w:rsidSect="00D27FC0">
      <w:headerReference w:type="default" r:id="rId7"/>
      <w:footerReference w:type="even" r:id="rId8"/>
      <w:footerReference w:type="default" r:id="rId9"/>
      <w:pgSz w:w="11907" w:h="16840" w:code="9"/>
      <w:pgMar w:top="1701" w:right="1134" w:bottom="1134" w:left="1701" w:header="284" w:footer="11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875" w:rsidRDefault="00191875">
      <w:r>
        <w:separator/>
      </w:r>
    </w:p>
  </w:endnote>
  <w:endnote w:type="continuationSeparator" w:id="0">
    <w:p w:rsidR="00191875" w:rsidRDefault="00191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08D" w:rsidRDefault="008C508D" w:rsidP="00BE1A39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C508D" w:rsidRDefault="008C508D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D52" w:rsidRPr="00343C79" w:rsidRDefault="00010D52">
    <w:pPr>
      <w:pStyle w:val="Rodap"/>
      <w:jc w:val="center"/>
      <w:rPr>
        <w:rFonts w:cs="Arial"/>
        <w:szCs w:val="18"/>
      </w:rPr>
    </w:pPr>
    <w:r w:rsidRPr="00343C79">
      <w:rPr>
        <w:rFonts w:cs="Arial"/>
        <w:szCs w:val="18"/>
      </w:rPr>
      <w:t xml:space="preserve">Página </w:t>
    </w:r>
    <w:r w:rsidRPr="00343C79">
      <w:rPr>
        <w:rFonts w:cs="Arial"/>
        <w:bCs/>
        <w:szCs w:val="18"/>
      </w:rPr>
      <w:fldChar w:fldCharType="begin"/>
    </w:r>
    <w:r w:rsidRPr="00343C79">
      <w:rPr>
        <w:rFonts w:cs="Arial"/>
        <w:bCs/>
        <w:szCs w:val="18"/>
      </w:rPr>
      <w:instrText>PAGE</w:instrText>
    </w:r>
    <w:r w:rsidRPr="00343C79">
      <w:rPr>
        <w:rFonts w:cs="Arial"/>
        <w:bCs/>
        <w:szCs w:val="18"/>
      </w:rPr>
      <w:fldChar w:fldCharType="separate"/>
    </w:r>
    <w:r w:rsidR="00511937">
      <w:rPr>
        <w:rFonts w:cs="Arial"/>
        <w:bCs/>
        <w:noProof/>
        <w:szCs w:val="18"/>
      </w:rPr>
      <w:t>1</w:t>
    </w:r>
    <w:r w:rsidRPr="00343C79">
      <w:rPr>
        <w:rFonts w:cs="Arial"/>
        <w:bCs/>
        <w:szCs w:val="18"/>
      </w:rPr>
      <w:fldChar w:fldCharType="end"/>
    </w:r>
    <w:r w:rsidRPr="00343C79">
      <w:rPr>
        <w:rFonts w:cs="Arial"/>
        <w:szCs w:val="18"/>
      </w:rPr>
      <w:t xml:space="preserve"> de </w:t>
    </w:r>
    <w:r w:rsidRPr="00343C79">
      <w:rPr>
        <w:rFonts w:cs="Arial"/>
        <w:bCs/>
        <w:szCs w:val="18"/>
      </w:rPr>
      <w:fldChar w:fldCharType="begin"/>
    </w:r>
    <w:r w:rsidRPr="00343C79">
      <w:rPr>
        <w:rFonts w:cs="Arial"/>
        <w:bCs/>
        <w:szCs w:val="18"/>
      </w:rPr>
      <w:instrText>NUMPAGES</w:instrText>
    </w:r>
    <w:r w:rsidRPr="00343C79">
      <w:rPr>
        <w:rFonts w:cs="Arial"/>
        <w:bCs/>
        <w:szCs w:val="18"/>
      </w:rPr>
      <w:fldChar w:fldCharType="separate"/>
    </w:r>
    <w:r w:rsidR="00511937">
      <w:rPr>
        <w:rFonts w:cs="Arial"/>
        <w:bCs/>
        <w:noProof/>
        <w:szCs w:val="18"/>
      </w:rPr>
      <w:t>8</w:t>
    </w:r>
    <w:r w:rsidRPr="00343C79">
      <w:rPr>
        <w:rFonts w:cs="Arial"/>
        <w:bCs/>
        <w:szCs w:val="18"/>
      </w:rPr>
      <w:fldChar w:fldCharType="end"/>
    </w:r>
  </w:p>
  <w:p w:rsidR="008C508D" w:rsidRDefault="00D27FC0">
    <w:pPr>
      <w:pStyle w:val="Rodap"/>
      <w:rPr>
        <w:noProof/>
        <w:snapToGrid w:val="0"/>
        <w:sz w:val="16"/>
      </w:rPr>
    </w:pPr>
    <w:r>
      <w:tab/>
    </w:r>
    <w:r>
      <w:tab/>
    </w:r>
  </w:p>
  <w:p w:rsidR="0067477D" w:rsidRDefault="0067477D">
    <w:pPr>
      <w:pStyle w:val="Rodap"/>
      <w:rPr>
        <w:noProof/>
        <w:snapToGrid w:val="0"/>
        <w:sz w:val="16"/>
      </w:rPr>
    </w:pPr>
  </w:p>
  <w:p w:rsidR="0067477D" w:rsidRDefault="0067477D">
    <w:pPr>
      <w:pStyle w:val="Rodap"/>
      <w:rPr>
        <w:noProof/>
        <w:snapToGrid w:val="0"/>
        <w:sz w:val="16"/>
      </w:rPr>
    </w:pPr>
  </w:p>
  <w:p w:rsidR="0067477D" w:rsidRDefault="0067477D">
    <w:pPr>
      <w:pStyle w:val="Rodap"/>
      <w:rPr>
        <w:noProof/>
        <w:snapToGrid w:val="0"/>
        <w:sz w:val="16"/>
      </w:rPr>
    </w:pPr>
  </w:p>
  <w:p w:rsidR="0067477D" w:rsidRDefault="0067477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875" w:rsidRDefault="00191875">
      <w:r>
        <w:separator/>
      </w:r>
    </w:p>
  </w:footnote>
  <w:footnote w:type="continuationSeparator" w:id="0">
    <w:p w:rsidR="00191875" w:rsidRDefault="001918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1ED" w:rsidRDefault="00D27FC0" w:rsidP="00D27FC0">
    <w:pPr>
      <w:pStyle w:val="Cabealho"/>
      <w:pBdr>
        <w:bottom w:val="single" w:sz="4" w:space="0" w:color="auto"/>
      </w:pBdr>
      <w:rPr>
        <w:rFonts w:ascii="Arial" w:hAnsi="Arial"/>
        <w:sz w:val="16"/>
        <w:szCs w:val="16"/>
        <w:lang w:val="pt-BR"/>
      </w:rPr>
    </w:pPr>
    <w:r>
      <w:rPr>
        <w:rFonts w:ascii="Arial" w:hAnsi="Arial"/>
        <w:sz w:val="16"/>
        <w:szCs w:val="16"/>
        <w:lang w:val="pt-BR"/>
      </w:rPr>
      <w:tab/>
    </w:r>
    <w:r>
      <w:rPr>
        <w:rFonts w:ascii="Arial" w:hAnsi="Arial"/>
        <w:sz w:val="16"/>
        <w:szCs w:val="16"/>
        <w:lang w:val="pt-BR"/>
      </w:rPr>
      <w:tab/>
    </w:r>
  </w:p>
  <w:p w:rsidR="00343C79" w:rsidRDefault="00343C79" w:rsidP="00343C79">
    <w:pPr>
      <w:pStyle w:val="Cabealho"/>
      <w:pBdr>
        <w:bottom w:val="single" w:sz="4" w:space="0" w:color="auto"/>
      </w:pBdr>
      <w:rPr>
        <w:noProof/>
        <w:snapToGrid/>
        <w:lang w:val="pt-BR"/>
      </w:rPr>
    </w:pPr>
  </w:p>
  <w:p w:rsidR="001A2A78" w:rsidRDefault="001A2A78" w:rsidP="00343C79">
    <w:pPr>
      <w:pStyle w:val="Cabealho"/>
      <w:pBdr>
        <w:bottom w:val="single" w:sz="4" w:space="0" w:color="auto"/>
      </w:pBdr>
      <w:rPr>
        <w:rFonts w:ascii="Times New Roman" w:hAnsi="Times New Roman"/>
        <w:sz w:val="16"/>
        <w:szCs w:val="16"/>
        <w:lang w:val="pt-BR"/>
      </w:rPr>
    </w:pPr>
  </w:p>
  <w:p w:rsidR="0046736A" w:rsidRPr="00343C79" w:rsidRDefault="008C508D" w:rsidP="0046736A">
    <w:pPr>
      <w:pStyle w:val="Cabealho"/>
      <w:pBdr>
        <w:bottom w:val="single" w:sz="4" w:space="0" w:color="auto"/>
      </w:pBdr>
      <w:jc w:val="center"/>
      <w:rPr>
        <w:rFonts w:ascii="Times New Roman" w:hAnsi="Times New Roman"/>
        <w:sz w:val="16"/>
        <w:szCs w:val="16"/>
        <w:lang w:val="pt-BR"/>
      </w:rPr>
    </w:pPr>
    <w:r w:rsidRPr="00343C79">
      <w:rPr>
        <w:rFonts w:ascii="Times New Roman" w:hAnsi="Times New Roman"/>
        <w:sz w:val="16"/>
        <w:szCs w:val="16"/>
        <w:lang w:val="pt-BR"/>
      </w:rPr>
      <w:t>ANEXO 5 AO CONTRATO DE INTERCONEXÃO</w:t>
    </w:r>
  </w:p>
  <w:p w:rsidR="00010D52" w:rsidRDefault="00343C79" w:rsidP="00D27FC0">
    <w:pPr>
      <w:pStyle w:val="Cabealho"/>
      <w:pBdr>
        <w:bottom w:val="single" w:sz="4" w:space="0" w:color="auto"/>
      </w:pBdr>
      <w:jc w:val="center"/>
      <w:rPr>
        <w:rFonts w:ascii="Times New Roman" w:hAnsi="Times New Roman"/>
        <w:sz w:val="16"/>
        <w:szCs w:val="16"/>
        <w:lang w:val="pt-BR"/>
      </w:rPr>
    </w:pPr>
    <w:r w:rsidRPr="00343C79">
      <w:rPr>
        <w:rFonts w:ascii="Times New Roman" w:hAnsi="Times New Roman"/>
        <w:sz w:val="16"/>
        <w:szCs w:val="16"/>
        <w:lang w:val="pt-BR"/>
      </w:rPr>
      <w:t>PARA TRÁFEGO TELEFÔNICO ENTRE A ALGAR E TELE-XX</w:t>
    </w:r>
  </w:p>
  <w:p w:rsidR="00343C79" w:rsidRPr="00343C79" w:rsidRDefault="00343C79" w:rsidP="00D27FC0">
    <w:pPr>
      <w:pStyle w:val="Cabealho"/>
      <w:pBdr>
        <w:bottom w:val="single" w:sz="4" w:space="0" w:color="auto"/>
      </w:pBdr>
      <w:jc w:val="center"/>
      <w:rPr>
        <w:rFonts w:ascii="Arial" w:hAnsi="Arial"/>
        <w:sz w:val="16"/>
        <w:szCs w:val="16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1279"/>
    <w:multiLevelType w:val="multilevel"/>
    <w:tmpl w:val="00D68CFA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" w15:restartNumberingAfterBreak="0">
    <w:nsid w:val="101A6E04"/>
    <w:multiLevelType w:val="multilevel"/>
    <w:tmpl w:val="D220A9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2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4.4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2.10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7BD65C0"/>
    <w:multiLevelType w:val="multilevel"/>
    <w:tmpl w:val="ABF8C2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95C5C35"/>
    <w:multiLevelType w:val="multilevel"/>
    <w:tmpl w:val="5C9C312A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09" w:hanging="72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4" w15:restartNumberingAfterBreak="0">
    <w:nsid w:val="2BE06843"/>
    <w:multiLevelType w:val="multilevel"/>
    <w:tmpl w:val="6538A714"/>
    <w:lvl w:ilvl="0">
      <w:start w:val="1"/>
      <w:numFmt w:val="decimal"/>
      <w:lvlText w:val="%1."/>
      <w:lvlJc w:val="left"/>
      <w:pPr>
        <w:tabs>
          <w:tab w:val="num" w:pos="333"/>
        </w:tabs>
        <w:ind w:left="33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7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9" w:hanging="1800"/>
      </w:pPr>
      <w:rPr>
        <w:rFonts w:hint="default"/>
      </w:rPr>
    </w:lvl>
  </w:abstractNum>
  <w:abstractNum w:abstractNumId="5" w15:restartNumberingAfterBreak="0">
    <w:nsid w:val="2F5039D3"/>
    <w:multiLevelType w:val="multilevel"/>
    <w:tmpl w:val="0388BA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2A47290"/>
    <w:multiLevelType w:val="multilevel"/>
    <w:tmpl w:val="8A14887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7" w15:restartNumberingAfterBreak="0">
    <w:nsid w:val="3A854B6E"/>
    <w:multiLevelType w:val="multilevel"/>
    <w:tmpl w:val="3C90F4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2.9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2.10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22E2862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AB6765C"/>
    <w:multiLevelType w:val="multilevel"/>
    <w:tmpl w:val="105601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0C22E18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6D9670EE"/>
    <w:multiLevelType w:val="multilevel"/>
    <w:tmpl w:val="AC2A41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1"/>
  </w:num>
  <w:num w:numId="10">
    <w:abstractNumId w:val="11"/>
  </w:num>
  <w:num w:numId="11">
    <w:abstractNumId w:val="9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1Ti0kxA+F6rqiflnQo1qpAoPuwyeLHm5CJO3jjxQ53cInQ54ZXltTBXo3Lv2uPMXWFjx8rN6xb6xdqNkrIP2RA==" w:salt="JztM+FrGkZ6MjF5VJlPG/A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6AC"/>
    <w:rsid w:val="00010D52"/>
    <w:rsid w:val="00040C38"/>
    <w:rsid w:val="00042662"/>
    <w:rsid w:val="0007291C"/>
    <w:rsid w:val="000A51A1"/>
    <w:rsid w:val="00126490"/>
    <w:rsid w:val="00133437"/>
    <w:rsid w:val="00182981"/>
    <w:rsid w:val="00191875"/>
    <w:rsid w:val="001944B7"/>
    <w:rsid w:val="001A2A78"/>
    <w:rsid w:val="001C329A"/>
    <w:rsid w:val="001C4194"/>
    <w:rsid w:val="001E31FD"/>
    <w:rsid w:val="00217556"/>
    <w:rsid w:val="00220241"/>
    <w:rsid w:val="00246FA0"/>
    <w:rsid w:val="00270D07"/>
    <w:rsid w:val="0027424B"/>
    <w:rsid w:val="00274F43"/>
    <w:rsid w:val="002C31AE"/>
    <w:rsid w:val="002D6ACA"/>
    <w:rsid w:val="0032260E"/>
    <w:rsid w:val="00343C79"/>
    <w:rsid w:val="003811ED"/>
    <w:rsid w:val="003935FA"/>
    <w:rsid w:val="003F490D"/>
    <w:rsid w:val="00410AAC"/>
    <w:rsid w:val="004432EE"/>
    <w:rsid w:val="0046224E"/>
    <w:rsid w:val="0046736A"/>
    <w:rsid w:val="004748A7"/>
    <w:rsid w:val="004B2D6D"/>
    <w:rsid w:val="004E74D2"/>
    <w:rsid w:val="00511937"/>
    <w:rsid w:val="005407DB"/>
    <w:rsid w:val="0055126E"/>
    <w:rsid w:val="005656A2"/>
    <w:rsid w:val="005A0E67"/>
    <w:rsid w:val="005D2F6B"/>
    <w:rsid w:val="00602B68"/>
    <w:rsid w:val="00644640"/>
    <w:rsid w:val="00652671"/>
    <w:rsid w:val="0067477D"/>
    <w:rsid w:val="00696A1E"/>
    <w:rsid w:val="00697A8A"/>
    <w:rsid w:val="006F4610"/>
    <w:rsid w:val="00783498"/>
    <w:rsid w:val="007A1FD3"/>
    <w:rsid w:val="00815646"/>
    <w:rsid w:val="0082381F"/>
    <w:rsid w:val="008964FD"/>
    <w:rsid w:val="008C508D"/>
    <w:rsid w:val="008E656F"/>
    <w:rsid w:val="009053EC"/>
    <w:rsid w:val="00911897"/>
    <w:rsid w:val="00933C51"/>
    <w:rsid w:val="00934864"/>
    <w:rsid w:val="0095678F"/>
    <w:rsid w:val="009725EE"/>
    <w:rsid w:val="009F56AC"/>
    <w:rsid w:val="00A36203"/>
    <w:rsid w:val="00A62A75"/>
    <w:rsid w:val="00AE373B"/>
    <w:rsid w:val="00B5061C"/>
    <w:rsid w:val="00B7785B"/>
    <w:rsid w:val="00BE1A39"/>
    <w:rsid w:val="00C210A5"/>
    <w:rsid w:val="00C30BC0"/>
    <w:rsid w:val="00C7194E"/>
    <w:rsid w:val="00C95CE8"/>
    <w:rsid w:val="00CA03C4"/>
    <w:rsid w:val="00D27FC0"/>
    <w:rsid w:val="00D4050C"/>
    <w:rsid w:val="00D7795B"/>
    <w:rsid w:val="00D86DCD"/>
    <w:rsid w:val="00DE1FEA"/>
    <w:rsid w:val="00DE2B81"/>
    <w:rsid w:val="00E21E74"/>
    <w:rsid w:val="00EB6EFA"/>
    <w:rsid w:val="00ED4820"/>
    <w:rsid w:val="00ED6A7E"/>
    <w:rsid w:val="00EE0391"/>
    <w:rsid w:val="00F10064"/>
    <w:rsid w:val="00F162DA"/>
    <w:rsid w:val="00F3456A"/>
    <w:rsid w:val="00F40874"/>
    <w:rsid w:val="00F8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9EF9699-E2CC-4C35-B2F1-4E067F12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spacing w:before="240"/>
      <w:jc w:val="both"/>
      <w:outlineLvl w:val="0"/>
    </w:pPr>
    <w:rPr>
      <w:b/>
      <w:kern w:val="28"/>
    </w:rPr>
  </w:style>
  <w:style w:type="paragraph" w:styleId="Ttulo2">
    <w:name w:val="heading 2"/>
    <w:basedOn w:val="Normal"/>
    <w:next w:val="Normal"/>
    <w:qFormat/>
    <w:pPr>
      <w:keepLines/>
      <w:spacing w:before="240"/>
      <w:ind w:left="567" w:hanging="567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spacing w:before="240"/>
      <w:ind w:left="1276" w:hanging="709"/>
      <w:jc w:val="both"/>
      <w:outlineLvl w:val="2"/>
    </w:pPr>
  </w:style>
  <w:style w:type="paragraph" w:styleId="Ttulo4">
    <w:name w:val="heading 4"/>
    <w:basedOn w:val="Normal"/>
    <w:next w:val="Normal"/>
    <w:qFormat/>
    <w:pPr>
      <w:keepNext/>
      <w:widowControl w:val="0"/>
      <w:spacing w:before="60" w:after="60"/>
      <w:jc w:val="center"/>
      <w:outlineLvl w:val="3"/>
    </w:pPr>
    <w:rPr>
      <w:b/>
      <w:snapToGrid w:val="0"/>
    </w:rPr>
  </w:style>
  <w:style w:type="paragraph" w:styleId="Ttulo8">
    <w:name w:val="heading 8"/>
    <w:basedOn w:val="Normal"/>
    <w:next w:val="Normal"/>
    <w:qFormat/>
    <w:pPr>
      <w:keepNext/>
      <w:widowControl w:val="0"/>
      <w:jc w:val="center"/>
      <w:outlineLvl w:val="7"/>
    </w:pPr>
    <w:rPr>
      <w:b/>
      <w:snapToGrid w:val="0"/>
      <w:color w:val="FF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356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customStyle="1" w:styleId="BodyText23">
    <w:name w:val="Body Text 23"/>
    <w:basedOn w:val="Normal"/>
    <w:pPr>
      <w:ind w:left="432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widowControl w:val="0"/>
    </w:pPr>
    <w:rPr>
      <w:rFonts w:ascii="Book Antiqua" w:hAnsi="Book Antiqua"/>
      <w:snapToGrid w:val="0"/>
      <w:sz w:val="26"/>
      <w:lang w:val="en-US"/>
    </w:rPr>
  </w:style>
  <w:style w:type="paragraph" w:styleId="Recuodecorpodetexto">
    <w:name w:val="Body Text Indent"/>
    <w:basedOn w:val="Normal"/>
    <w:pPr>
      <w:widowControl w:val="0"/>
      <w:ind w:right="566"/>
      <w:jc w:val="center"/>
    </w:pPr>
    <w:rPr>
      <w:b/>
      <w:sz w:val="24"/>
    </w:rPr>
  </w:style>
  <w:style w:type="paragraph" w:customStyle="1" w:styleId="BodyTextIndent31">
    <w:name w:val="Body Text Indent 31"/>
    <w:basedOn w:val="Normal"/>
    <w:pPr>
      <w:widowControl w:val="0"/>
      <w:ind w:left="567" w:hanging="567"/>
      <w:jc w:val="both"/>
    </w:p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010D52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70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1672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5</vt:lpstr>
    </vt:vector>
  </TitlesOfParts>
  <Company>Telefônica</Company>
  <LinksUpToDate>false</LinksUpToDate>
  <CharactersWithSpaces>10680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5</dc:title>
  <dc:creator>José Carlos Cunha</dc:creator>
  <cp:lastModifiedBy>Claudia Cristina Ribeiro Macedo</cp:lastModifiedBy>
  <cp:revision>21</cp:revision>
  <cp:lastPrinted>2021-04-01T18:24:00Z</cp:lastPrinted>
  <dcterms:created xsi:type="dcterms:W3CDTF">2015-04-14T14:26:00Z</dcterms:created>
  <dcterms:modified xsi:type="dcterms:W3CDTF">2021-04-01T18:25:00Z</dcterms:modified>
</cp:coreProperties>
</file>