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4A7" w:rsidRPr="00C122B9" w:rsidRDefault="00CF74A7" w:rsidP="004B0241">
      <w:pPr>
        <w:suppressAutoHyphens/>
        <w:jc w:val="center"/>
        <w:rPr>
          <w:rFonts w:ascii="Arial" w:hAnsi="Arial" w:cs="Arial"/>
          <w:b/>
        </w:rPr>
      </w:pPr>
    </w:p>
    <w:p w:rsidR="0076347A" w:rsidRPr="00C122B9" w:rsidRDefault="00861627" w:rsidP="004B0241">
      <w:pPr>
        <w:suppressAutoHyphens/>
        <w:jc w:val="center"/>
        <w:rPr>
          <w:rFonts w:ascii="Arial" w:hAnsi="Arial" w:cs="Arial"/>
          <w:b/>
        </w:rPr>
      </w:pPr>
      <w:r w:rsidRPr="00C122B9">
        <w:rPr>
          <w:rFonts w:ascii="Arial" w:hAnsi="Arial" w:cs="Arial"/>
          <w:b/>
        </w:rPr>
        <w:t xml:space="preserve">ANEXO </w:t>
      </w:r>
      <w:r w:rsidR="0076347A" w:rsidRPr="00C122B9">
        <w:rPr>
          <w:rFonts w:ascii="Arial" w:hAnsi="Arial" w:cs="Arial"/>
          <w:b/>
        </w:rPr>
        <w:t>10</w:t>
      </w:r>
    </w:p>
    <w:p w:rsidR="00F53423" w:rsidRPr="00C122B9" w:rsidRDefault="00861627" w:rsidP="004B0241">
      <w:pPr>
        <w:suppressAutoHyphens/>
        <w:jc w:val="center"/>
        <w:rPr>
          <w:rFonts w:ascii="Arial" w:hAnsi="Arial" w:cs="Arial"/>
          <w:b/>
        </w:rPr>
      </w:pPr>
      <w:r w:rsidRPr="00C122B9">
        <w:rPr>
          <w:rFonts w:ascii="Arial" w:hAnsi="Arial" w:cs="Arial"/>
          <w:b/>
        </w:rPr>
        <w:t xml:space="preserve"> </w:t>
      </w:r>
    </w:p>
    <w:p w:rsidR="00861627" w:rsidRPr="00C122B9" w:rsidRDefault="00861627" w:rsidP="004B0241">
      <w:pPr>
        <w:suppressAutoHyphens/>
        <w:jc w:val="center"/>
        <w:rPr>
          <w:rFonts w:ascii="Arial" w:hAnsi="Arial" w:cs="Arial"/>
          <w:b/>
        </w:rPr>
      </w:pPr>
      <w:r w:rsidRPr="00C122B9">
        <w:rPr>
          <w:rFonts w:ascii="Arial" w:hAnsi="Arial" w:cs="Arial"/>
          <w:b/>
        </w:rPr>
        <w:t xml:space="preserve"> </w:t>
      </w:r>
      <w:r w:rsidR="00324123" w:rsidRPr="00C122B9">
        <w:rPr>
          <w:rFonts w:ascii="Arial" w:hAnsi="Arial" w:cs="Arial"/>
          <w:b/>
        </w:rPr>
        <w:t>PROCEDIMENTOS TÉCNICO-OPERACIONAIS R</w:t>
      </w:r>
      <w:bookmarkStart w:id="0" w:name="_GoBack"/>
      <w:bookmarkEnd w:id="0"/>
      <w:r w:rsidR="00324123" w:rsidRPr="00C122B9">
        <w:rPr>
          <w:rFonts w:ascii="Arial" w:hAnsi="Arial" w:cs="Arial"/>
          <w:b/>
        </w:rPr>
        <w:t>ELATIVOS À PORTABILIDADE</w:t>
      </w:r>
    </w:p>
    <w:p w:rsidR="004B0241" w:rsidRPr="00C122B9" w:rsidRDefault="004B0241" w:rsidP="004B0241">
      <w:pPr>
        <w:suppressAutoHyphens/>
        <w:jc w:val="center"/>
        <w:rPr>
          <w:rFonts w:ascii="Arial" w:hAnsi="Arial" w:cs="Arial"/>
          <w:b/>
        </w:rPr>
      </w:pPr>
    </w:p>
    <w:p w:rsidR="004B0241" w:rsidRPr="00C122B9" w:rsidRDefault="004B0241" w:rsidP="004B0241">
      <w:pPr>
        <w:suppressAutoHyphens/>
        <w:jc w:val="center"/>
        <w:rPr>
          <w:rFonts w:ascii="Arial" w:hAnsi="Arial" w:cs="Arial"/>
          <w:b/>
        </w:rPr>
      </w:pPr>
    </w:p>
    <w:p w:rsidR="00861627" w:rsidRPr="00C122B9" w:rsidRDefault="004B0241" w:rsidP="004B0241">
      <w:pPr>
        <w:pStyle w:val="Ttulo1"/>
        <w:keepNext/>
        <w:keepLines/>
        <w:numPr>
          <w:ilvl w:val="0"/>
          <w:numId w:val="2"/>
        </w:numPr>
        <w:suppressAutoHyphens/>
        <w:spacing w:before="0" w:after="0"/>
        <w:rPr>
          <w:rFonts w:cs="Arial"/>
          <w:sz w:val="24"/>
          <w:szCs w:val="24"/>
        </w:rPr>
      </w:pPr>
      <w:r w:rsidRPr="00C122B9">
        <w:rPr>
          <w:rFonts w:cs="Arial"/>
          <w:sz w:val="24"/>
          <w:szCs w:val="24"/>
        </w:rPr>
        <w:t xml:space="preserve">       </w:t>
      </w:r>
      <w:r w:rsidR="00861627" w:rsidRPr="00C122B9">
        <w:rPr>
          <w:rFonts w:cs="Arial"/>
          <w:sz w:val="24"/>
          <w:szCs w:val="24"/>
        </w:rPr>
        <w:t>Objetivo</w:t>
      </w:r>
    </w:p>
    <w:p w:rsidR="00365757" w:rsidRPr="00C122B9" w:rsidRDefault="00365757" w:rsidP="004B0241">
      <w:pPr>
        <w:suppressAutoHyphens/>
        <w:rPr>
          <w:rFonts w:ascii="Arial" w:hAnsi="Arial" w:cs="Arial"/>
        </w:rPr>
      </w:pPr>
    </w:p>
    <w:p w:rsidR="004B0241" w:rsidRPr="00C122B9" w:rsidRDefault="004B0241" w:rsidP="004B0241">
      <w:pPr>
        <w:suppressAutoHyphens/>
        <w:rPr>
          <w:rFonts w:ascii="Arial" w:hAnsi="Arial" w:cs="Arial"/>
        </w:rPr>
      </w:pPr>
    </w:p>
    <w:p w:rsidR="00861627" w:rsidRPr="00C122B9" w:rsidRDefault="00861627" w:rsidP="004B0241">
      <w:pPr>
        <w:pStyle w:val="Anexos"/>
        <w:numPr>
          <w:ilvl w:val="1"/>
          <w:numId w:val="2"/>
        </w:numPr>
        <w:suppressAutoHyphens/>
        <w:rPr>
          <w:rFonts w:cs="Arial"/>
          <w:szCs w:val="24"/>
        </w:rPr>
      </w:pPr>
      <w:r w:rsidRPr="00C122B9">
        <w:rPr>
          <w:rFonts w:cs="Arial"/>
          <w:szCs w:val="24"/>
        </w:rPr>
        <w:t xml:space="preserve">O objetivo do presente anexo é estabelecer os procedimentos técnico-operacionais de suporte à Portabilidade entre as Partes, conforme disposto no Art. 31 do Regulamento Geral de Portabilidade, aprovado pela Resolução número </w:t>
      </w:r>
      <w:proofErr w:type="gramStart"/>
      <w:r w:rsidRPr="00C122B9">
        <w:rPr>
          <w:rFonts w:cs="Arial"/>
          <w:szCs w:val="24"/>
        </w:rPr>
        <w:t>n.º</w:t>
      </w:r>
      <w:proofErr w:type="gramEnd"/>
      <w:r w:rsidRPr="00C122B9">
        <w:rPr>
          <w:rFonts w:cs="Arial"/>
          <w:szCs w:val="24"/>
        </w:rPr>
        <w:t xml:space="preserve"> 460, de 19 de março de 2007 (“RGP”).</w:t>
      </w:r>
    </w:p>
    <w:p w:rsidR="004B0241" w:rsidRPr="00C122B9" w:rsidRDefault="004B0241" w:rsidP="004B0241">
      <w:pPr>
        <w:pStyle w:val="Anexos"/>
        <w:suppressAutoHyphens/>
        <w:ind w:left="720"/>
        <w:rPr>
          <w:rFonts w:cs="Arial"/>
          <w:szCs w:val="24"/>
        </w:rPr>
      </w:pPr>
    </w:p>
    <w:p w:rsidR="004B0241" w:rsidRPr="00C122B9" w:rsidRDefault="004B0241" w:rsidP="004B0241">
      <w:pPr>
        <w:pStyle w:val="Anexos"/>
        <w:suppressAutoHyphens/>
        <w:ind w:left="720"/>
        <w:rPr>
          <w:rFonts w:cs="Arial"/>
          <w:szCs w:val="24"/>
        </w:rPr>
      </w:pPr>
    </w:p>
    <w:p w:rsidR="00861627" w:rsidRPr="00C122B9" w:rsidRDefault="004B0241" w:rsidP="004B0241">
      <w:pPr>
        <w:pStyle w:val="Ttulo1"/>
        <w:keepNext/>
        <w:keepLines/>
        <w:numPr>
          <w:ilvl w:val="0"/>
          <w:numId w:val="2"/>
        </w:numPr>
        <w:suppressAutoHyphens/>
        <w:spacing w:before="0" w:after="0"/>
        <w:rPr>
          <w:rFonts w:cs="Arial"/>
          <w:sz w:val="24"/>
          <w:szCs w:val="24"/>
        </w:rPr>
      </w:pPr>
      <w:r w:rsidRPr="00C122B9">
        <w:rPr>
          <w:rFonts w:cs="Arial"/>
          <w:sz w:val="24"/>
          <w:szCs w:val="24"/>
        </w:rPr>
        <w:t xml:space="preserve">       </w:t>
      </w:r>
      <w:r w:rsidR="00861627" w:rsidRPr="00C122B9">
        <w:rPr>
          <w:rFonts w:cs="Arial"/>
          <w:sz w:val="24"/>
          <w:szCs w:val="24"/>
        </w:rPr>
        <w:t>Procedimentos Técnicos</w:t>
      </w:r>
    </w:p>
    <w:p w:rsidR="004B0241" w:rsidRPr="00C122B9" w:rsidRDefault="004B0241" w:rsidP="004B0241">
      <w:pPr>
        <w:rPr>
          <w:rFonts w:ascii="Arial" w:hAnsi="Arial" w:cs="Arial"/>
        </w:rPr>
      </w:pPr>
    </w:p>
    <w:p w:rsidR="00365757" w:rsidRPr="00C122B9" w:rsidRDefault="00365757" w:rsidP="004B0241">
      <w:pPr>
        <w:suppressAutoHyphens/>
        <w:rPr>
          <w:rFonts w:ascii="Arial" w:hAnsi="Arial" w:cs="Arial"/>
        </w:rPr>
      </w:pPr>
    </w:p>
    <w:p w:rsidR="00861627" w:rsidRPr="00C122B9" w:rsidRDefault="00861627" w:rsidP="004B0241">
      <w:pPr>
        <w:pStyle w:val="Ttulo2"/>
        <w:numPr>
          <w:ilvl w:val="1"/>
          <w:numId w:val="2"/>
        </w:numPr>
        <w:suppressAutoHyphens/>
        <w:spacing w:before="0" w:after="0"/>
        <w:rPr>
          <w:rFonts w:cs="Arial"/>
          <w:sz w:val="24"/>
          <w:szCs w:val="24"/>
        </w:rPr>
      </w:pPr>
      <w:r w:rsidRPr="00C122B9">
        <w:rPr>
          <w:rFonts w:cs="Arial"/>
          <w:sz w:val="24"/>
          <w:szCs w:val="24"/>
        </w:rPr>
        <w:t xml:space="preserve">As Partes acordam em adotar no seu relacionamento os procedimentos definidos no documento Requisitos Técnicos para Portabilidade de Códigos de Acesso (“Requisitos Técnicos”), na sua versão mais atualizada, devida e </w:t>
      </w:r>
      <w:proofErr w:type="gramStart"/>
      <w:r w:rsidRPr="00C122B9">
        <w:rPr>
          <w:rFonts w:cs="Arial"/>
          <w:sz w:val="24"/>
          <w:szCs w:val="24"/>
        </w:rPr>
        <w:t>formalmente</w:t>
      </w:r>
      <w:proofErr w:type="gramEnd"/>
      <w:r w:rsidRPr="00C122B9">
        <w:rPr>
          <w:rFonts w:cs="Arial"/>
          <w:sz w:val="24"/>
          <w:szCs w:val="24"/>
        </w:rPr>
        <w:t xml:space="preserve"> aprovada pelo Grupo de Implementação da Portabilidade (“GIP”) e disponibilizada por meio da página da Internet da Entidade Administradora da Portabilidade ou em página web – SharePoint cujo endereço é informado por esta.</w:t>
      </w:r>
    </w:p>
    <w:p w:rsidR="00D10C9B" w:rsidRPr="00C122B9" w:rsidRDefault="00D10C9B" w:rsidP="004B0241">
      <w:pPr>
        <w:suppressAutoHyphens/>
        <w:rPr>
          <w:rFonts w:ascii="Arial" w:hAnsi="Arial" w:cs="Arial"/>
        </w:rPr>
      </w:pPr>
    </w:p>
    <w:p w:rsidR="004B0241" w:rsidRPr="00C122B9" w:rsidRDefault="00861627" w:rsidP="004B0241">
      <w:pPr>
        <w:pStyle w:val="Ttulo2"/>
        <w:numPr>
          <w:ilvl w:val="1"/>
          <w:numId w:val="2"/>
        </w:numPr>
        <w:tabs>
          <w:tab w:val="clear" w:pos="720"/>
          <w:tab w:val="left" w:pos="709"/>
        </w:tabs>
        <w:suppressAutoHyphens/>
        <w:spacing w:before="0" w:after="0"/>
        <w:rPr>
          <w:rFonts w:cs="Arial"/>
          <w:sz w:val="24"/>
          <w:szCs w:val="24"/>
        </w:rPr>
      </w:pPr>
      <w:r w:rsidRPr="00C122B9">
        <w:rPr>
          <w:rFonts w:cs="Arial"/>
          <w:sz w:val="24"/>
          <w:szCs w:val="24"/>
        </w:rPr>
        <w:t xml:space="preserve">Caso ocorra a qualquer tempo qualquer alteração que resulte em emissão de nova versão do documento de Requisitos Técnicos, devida e formalmente aprovada pelo GIP, observado o disposto no item 4.1 abaixo, as Partes desde já concordam em passar a adotá-la em substituição à versão anterior, a partir da sua publicação por meio da página da Internet da Entidade Administradora da Portabilidade ou em página web – SharePoint, especificamente para as alterações em relação à versão anterior. </w:t>
      </w:r>
    </w:p>
    <w:p w:rsidR="004B0241" w:rsidRPr="00C122B9" w:rsidRDefault="004B0241" w:rsidP="004B0241">
      <w:pPr>
        <w:pStyle w:val="PargrafodaLista"/>
        <w:rPr>
          <w:rFonts w:ascii="Arial" w:hAnsi="Arial" w:cs="Arial"/>
        </w:rPr>
      </w:pPr>
    </w:p>
    <w:p w:rsidR="004B0241" w:rsidRPr="00C122B9" w:rsidRDefault="004B0241" w:rsidP="004B0241">
      <w:pPr>
        <w:pStyle w:val="PargrafodaLista"/>
        <w:rPr>
          <w:rFonts w:ascii="Arial" w:hAnsi="Arial" w:cs="Arial"/>
        </w:rPr>
      </w:pPr>
    </w:p>
    <w:p w:rsidR="00861627" w:rsidRPr="00C122B9" w:rsidRDefault="004B0241" w:rsidP="004B0241">
      <w:pPr>
        <w:pStyle w:val="Ttulo1"/>
        <w:keepNext/>
        <w:keepLines/>
        <w:numPr>
          <w:ilvl w:val="0"/>
          <w:numId w:val="2"/>
        </w:numPr>
        <w:suppressAutoHyphens/>
        <w:spacing w:before="0" w:after="0"/>
        <w:rPr>
          <w:rFonts w:cs="Arial"/>
          <w:sz w:val="24"/>
          <w:szCs w:val="24"/>
        </w:rPr>
      </w:pPr>
      <w:r w:rsidRPr="00C122B9">
        <w:rPr>
          <w:rFonts w:cs="Arial"/>
          <w:sz w:val="24"/>
          <w:szCs w:val="24"/>
        </w:rPr>
        <w:t xml:space="preserve">        </w:t>
      </w:r>
      <w:r w:rsidR="00861627" w:rsidRPr="00C122B9">
        <w:rPr>
          <w:rFonts w:cs="Arial"/>
          <w:sz w:val="24"/>
          <w:szCs w:val="24"/>
        </w:rPr>
        <w:t>Procedimentos Operacionais</w:t>
      </w:r>
    </w:p>
    <w:p w:rsidR="00754377" w:rsidRPr="00C122B9" w:rsidRDefault="00754377" w:rsidP="004B0241">
      <w:pPr>
        <w:suppressAutoHyphens/>
        <w:rPr>
          <w:rFonts w:ascii="Arial" w:hAnsi="Arial" w:cs="Arial"/>
        </w:rPr>
      </w:pPr>
    </w:p>
    <w:p w:rsidR="00754377" w:rsidRPr="00C122B9" w:rsidRDefault="00754377" w:rsidP="004B0241">
      <w:pPr>
        <w:suppressAutoHyphens/>
        <w:rPr>
          <w:rFonts w:ascii="Arial" w:hAnsi="Arial" w:cs="Arial"/>
        </w:rPr>
      </w:pPr>
    </w:p>
    <w:p w:rsidR="00861627" w:rsidRPr="00C122B9" w:rsidRDefault="00861627" w:rsidP="004B0241">
      <w:pPr>
        <w:pStyle w:val="Anexos"/>
        <w:numPr>
          <w:ilvl w:val="1"/>
          <w:numId w:val="2"/>
        </w:numPr>
        <w:suppressAutoHyphens/>
        <w:rPr>
          <w:rFonts w:cs="Arial"/>
          <w:szCs w:val="24"/>
        </w:rPr>
      </w:pPr>
      <w:r w:rsidRPr="00C122B9">
        <w:rPr>
          <w:rFonts w:cs="Arial"/>
          <w:szCs w:val="24"/>
        </w:rPr>
        <w:t>As Partes acordam em adotar no seu relacionamento os procedimentos definidos no documento Manual de Procedimentos Operacionais da Portabilidade Numérica (“Manual Operacional”), na sua versão mais atualizada, devida e formalmente aprovada pelo GIP e disponibilizada por meio da página da Internet da Entidade Administradora da Portabilidade ou em página web – SharePoint cujo endereço é informado por esta.</w:t>
      </w:r>
    </w:p>
    <w:p w:rsidR="004B0241" w:rsidRPr="00C122B9" w:rsidRDefault="004B0241" w:rsidP="004B0241">
      <w:pPr>
        <w:pStyle w:val="Anexos"/>
        <w:suppressAutoHyphens/>
        <w:ind w:left="854"/>
        <w:rPr>
          <w:rFonts w:cs="Arial"/>
          <w:szCs w:val="24"/>
        </w:rPr>
      </w:pPr>
    </w:p>
    <w:p w:rsidR="00861627" w:rsidRPr="00C122B9" w:rsidRDefault="00861627" w:rsidP="004B0241">
      <w:pPr>
        <w:pStyle w:val="Anexos"/>
        <w:numPr>
          <w:ilvl w:val="1"/>
          <w:numId w:val="2"/>
        </w:numPr>
        <w:tabs>
          <w:tab w:val="clear" w:pos="720"/>
          <w:tab w:val="num" w:pos="709"/>
        </w:tabs>
        <w:suppressAutoHyphens/>
        <w:rPr>
          <w:rFonts w:cs="Arial"/>
          <w:szCs w:val="24"/>
        </w:rPr>
      </w:pPr>
      <w:r w:rsidRPr="00C122B9">
        <w:rPr>
          <w:rFonts w:cs="Arial"/>
          <w:szCs w:val="24"/>
        </w:rPr>
        <w:t>Caso ocorra a qualquer tempo qualquer alteração que resulte em emissão de nova versão do Manual Operacional devida e formalmente aprovada pelo GIP, observado o disposto no item 4.1 abaixo, as Partes desde já concordam em passar a adotá-la em substituição à versão anter</w:t>
      </w:r>
      <w:r w:rsidR="00365757" w:rsidRPr="00C122B9">
        <w:rPr>
          <w:rFonts w:cs="Arial"/>
          <w:szCs w:val="24"/>
        </w:rPr>
        <w:t>ior, a partir da sua publicação</w:t>
      </w:r>
      <w:r w:rsidRPr="00C122B9">
        <w:rPr>
          <w:rFonts w:cs="Arial"/>
          <w:szCs w:val="24"/>
        </w:rPr>
        <w:t xml:space="preserve"> por meio da página da Internet da Entidade A</w:t>
      </w:r>
      <w:r w:rsidR="00365757" w:rsidRPr="00C122B9">
        <w:rPr>
          <w:rFonts w:cs="Arial"/>
          <w:szCs w:val="24"/>
        </w:rPr>
        <w:t xml:space="preserve">dministradora da </w:t>
      </w:r>
      <w:r w:rsidR="00365757" w:rsidRPr="00C122B9">
        <w:rPr>
          <w:rFonts w:cs="Arial"/>
          <w:szCs w:val="24"/>
        </w:rPr>
        <w:lastRenderedPageBreak/>
        <w:t xml:space="preserve">Portabilidade </w:t>
      </w:r>
      <w:r w:rsidRPr="00C122B9">
        <w:rPr>
          <w:rFonts w:cs="Arial"/>
          <w:szCs w:val="24"/>
        </w:rPr>
        <w:t xml:space="preserve">ou em página web – SharePoint, especificamente para as alterações em relação à versão anterior. </w:t>
      </w:r>
    </w:p>
    <w:p w:rsidR="004B0241" w:rsidRPr="00C122B9" w:rsidRDefault="004B0241" w:rsidP="004B0241">
      <w:pPr>
        <w:pStyle w:val="Anexos"/>
        <w:suppressAutoHyphens/>
        <w:ind w:left="720"/>
        <w:rPr>
          <w:rFonts w:cs="Arial"/>
          <w:szCs w:val="24"/>
        </w:rPr>
      </w:pPr>
    </w:p>
    <w:p w:rsidR="004B0241" w:rsidRPr="00C122B9" w:rsidRDefault="004B0241" w:rsidP="004B0241">
      <w:pPr>
        <w:pStyle w:val="Anexos"/>
        <w:suppressAutoHyphens/>
        <w:ind w:left="720"/>
        <w:rPr>
          <w:rFonts w:cs="Arial"/>
          <w:szCs w:val="24"/>
        </w:rPr>
      </w:pPr>
    </w:p>
    <w:p w:rsidR="00861627" w:rsidRPr="00C122B9" w:rsidRDefault="004B0241" w:rsidP="004B0241">
      <w:pPr>
        <w:pStyle w:val="Ttulo1"/>
        <w:keepNext/>
        <w:keepLines/>
        <w:numPr>
          <w:ilvl w:val="0"/>
          <w:numId w:val="2"/>
        </w:numPr>
        <w:suppressAutoHyphens/>
        <w:spacing w:before="0" w:after="0"/>
        <w:rPr>
          <w:rFonts w:cs="Arial"/>
          <w:sz w:val="24"/>
          <w:szCs w:val="24"/>
        </w:rPr>
      </w:pPr>
      <w:r w:rsidRPr="00C122B9">
        <w:rPr>
          <w:rFonts w:cs="Arial"/>
          <w:sz w:val="24"/>
          <w:szCs w:val="24"/>
        </w:rPr>
        <w:t xml:space="preserve">        </w:t>
      </w:r>
      <w:r w:rsidR="00861627" w:rsidRPr="00C122B9">
        <w:rPr>
          <w:rFonts w:cs="Arial"/>
          <w:sz w:val="24"/>
          <w:szCs w:val="24"/>
        </w:rPr>
        <w:t>Atualização dos Procedimentos técnico-Operacionais pós GIP</w:t>
      </w:r>
    </w:p>
    <w:p w:rsidR="006620DE" w:rsidRPr="00C122B9" w:rsidRDefault="006620DE" w:rsidP="004B0241">
      <w:pPr>
        <w:suppressAutoHyphens/>
        <w:rPr>
          <w:rFonts w:ascii="Arial" w:hAnsi="Arial" w:cs="Arial"/>
        </w:rPr>
      </w:pPr>
    </w:p>
    <w:p w:rsidR="00B04DD5" w:rsidRPr="00C122B9" w:rsidRDefault="00B04DD5" w:rsidP="004B0241">
      <w:pPr>
        <w:suppressAutoHyphens/>
        <w:rPr>
          <w:rFonts w:ascii="Arial" w:hAnsi="Arial" w:cs="Arial"/>
        </w:rPr>
      </w:pPr>
    </w:p>
    <w:p w:rsidR="00861627" w:rsidRPr="00C122B9" w:rsidRDefault="00861627" w:rsidP="004B0241">
      <w:pPr>
        <w:pStyle w:val="Anexos"/>
        <w:numPr>
          <w:ilvl w:val="1"/>
          <w:numId w:val="2"/>
        </w:numPr>
        <w:tabs>
          <w:tab w:val="clear" w:pos="720"/>
          <w:tab w:val="num" w:pos="709"/>
        </w:tabs>
        <w:suppressAutoHyphens/>
        <w:rPr>
          <w:rFonts w:cs="Arial"/>
          <w:szCs w:val="24"/>
        </w:rPr>
      </w:pPr>
      <w:r w:rsidRPr="00C122B9">
        <w:rPr>
          <w:rFonts w:cs="Arial"/>
          <w:szCs w:val="24"/>
        </w:rPr>
        <w:t>Após a extinção do GIP, a aprovação de novas versões dos documentos Requisitos Técnicos e Manual Operacional referidos nos itens 2.2 e 3.2 acima, respectivamente, deverá ser objeto de procedimento a ser definido no âmbito da Entidade Administradora da Portabilidade e devidamente aprovado pela Anatel.</w:t>
      </w:r>
    </w:p>
    <w:p w:rsidR="00ED7713" w:rsidRPr="00C122B9" w:rsidRDefault="00ED7713" w:rsidP="004B0241">
      <w:pPr>
        <w:suppressAutoHyphens/>
        <w:jc w:val="both"/>
        <w:rPr>
          <w:rFonts w:ascii="Arial" w:hAnsi="Arial" w:cs="Arial"/>
          <w:snapToGrid w:val="0"/>
        </w:rPr>
      </w:pPr>
    </w:p>
    <w:sectPr w:rsidR="00ED7713" w:rsidRPr="00C122B9" w:rsidSect="009257BA">
      <w:headerReference w:type="default" r:id="rId8"/>
      <w:footerReference w:type="default" r:id="rId9"/>
      <w:pgSz w:w="11907" w:h="16840" w:code="9"/>
      <w:pgMar w:top="1701" w:right="1134" w:bottom="1134" w:left="1701" w:header="142" w:footer="1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D5B" w:rsidRDefault="00423D5B" w:rsidP="00DC6044">
      <w:r>
        <w:separator/>
      </w:r>
    </w:p>
  </w:endnote>
  <w:endnote w:type="continuationSeparator" w:id="0">
    <w:p w:rsidR="00423D5B" w:rsidRDefault="00423D5B" w:rsidP="00DC6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F45" w:rsidRPr="00C122B9" w:rsidRDefault="001F1F45" w:rsidP="00580F0D">
    <w:pPr>
      <w:pStyle w:val="Rodap"/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C122B9">
      <w:rPr>
        <w:rFonts w:ascii="Arial" w:hAnsi="Arial" w:cs="Arial"/>
        <w:sz w:val="18"/>
        <w:szCs w:val="18"/>
      </w:rPr>
      <w:t xml:space="preserve">Página </w:t>
    </w:r>
    <w:r w:rsidR="00053CF8" w:rsidRPr="00C122B9">
      <w:rPr>
        <w:rFonts w:ascii="Arial" w:hAnsi="Arial" w:cs="Arial"/>
        <w:sz w:val="18"/>
        <w:szCs w:val="18"/>
      </w:rPr>
      <w:fldChar w:fldCharType="begin"/>
    </w:r>
    <w:r w:rsidRPr="00C122B9">
      <w:rPr>
        <w:rFonts w:ascii="Arial" w:hAnsi="Arial" w:cs="Arial"/>
        <w:sz w:val="18"/>
        <w:szCs w:val="18"/>
      </w:rPr>
      <w:instrText xml:space="preserve"> PAGE </w:instrText>
    </w:r>
    <w:r w:rsidR="00053CF8" w:rsidRPr="00C122B9">
      <w:rPr>
        <w:rFonts w:ascii="Arial" w:hAnsi="Arial" w:cs="Arial"/>
        <w:sz w:val="18"/>
        <w:szCs w:val="18"/>
      </w:rPr>
      <w:fldChar w:fldCharType="separate"/>
    </w:r>
    <w:r w:rsidR="00154CC4">
      <w:rPr>
        <w:rFonts w:ascii="Arial" w:hAnsi="Arial" w:cs="Arial"/>
        <w:noProof/>
        <w:sz w:val="18"/>
        <w:szCs w:val="18"/>
      </w:rPr>
      <w:t>2</w:t>
    </w:r>
    <w:r w:rsidR="00053CF8" w:rsidRPr="00C122B9">
      <w:rPr>
        <w:rFonts w:ascii="Arial" w:hAnsi="Arial" w:cs="Arial"/>
        <w:sz w:val="18"/>
        <w:szCs w:val="18"/>
      </w:rPr>
      <w:fldChar w:fldCharType="end"/>
    </w:r>
    <w:r w:rsidRPr="00C122B9">
      <w:rPr>
        <w:rFonts w:ascii="Arial" w:hAnsi="Arial" w:cs="Arial"/>
        <w:sz w:val="18"/>
        <w:szCs w:val="18"/>
      </w:rPr>
      <w:t xml:space="preserve"> de 2</w:t>
    </w:r>
  </w:p>
  <w:p w:rsidR="009257BA" w:rsidRDefault="009257BA" w:rsidP="00580F0D">
    <w:pPr>
      <w:pStyle w:val="Rodap"/>
      <w:pBdr>
        <w:top w:val="single" w:sz="4" w:space="1" w:color="auto"/>
      </w:pBdr>
      <w:jc w:val="center"/>
      <w:rPr>
        <w:noProof/>
        <w:sz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:rsidR="009461EC" w:rsidRDefault="009461EC" w:rsidP="00580F0D">
    <w:pPr>
      <w:pStyle w:val="Rodap"/>
      <w:pBdr>
        <w:top w:val="single" w:sz="4" w:space="1" w:color="auto"/>
      </w:pBdr>
      <w:jc w:val="center"/>
      <w:rPr>
        <w:noProof/>
        <w:sz w:val="16"/>
      </w:rPr>
    </w:pPr>
  </w:p>
  <w:p w:rsidR="009461EC" w:rsidRDefault="009461EC" w:rsidP="00580F0D">
    <w:pPr>
      <w:pStyle w:val="Rodap"/>
      <w:pBdr>
        <w:top w:val="single" w:sz="4" w:space="1" w:color="auto"/>
      </w:pBdr>
      <w:jc w:val="center"/>
      <w:rPr>
        <w:noProof/>
        <w:sz w:val="16"/>
      </w:rPr>
    </w:pPr>
  </w:p>
  <w:p w:rsidR="009461EC" w:rsidRDefault="009461EC" w:rsidP="00580F0D">
    <w:pPr>
      <w:pStyle w:val="Rodap"/>
      <w:pBdr>
        <w:top w:val="single" w:sz="4" w:space="1" w:color="auto"/>
      </w:pBdr>
      <w:jc w:val="center"/>
      <w:rPr>
        <w:noProof/>
        <w:sz w:val="16"/>
      </w:rPr>
    </w:pPr>
  </w:p>
  <w:p w:rsidR="009461EC" w:rsidRPr="00324123" w:rsidRDefault="009461EC" w:rsidP="00580F0D">
    <w:pPr>
      <w:pStyle w:val="Rodap"/>
      <w:pBdr>
        <w:top w:val="single" w:sz="4" w:space="1" w:color="auto"/>
      </w:pBd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D5B" w:rsidRDefault="00423D5B" w:rsidP="00DC6044">
      <w:r>
        <w:separator/>
      </w:r>
    </w:p>
  </w:footnote>
  <w:footnote w:type="continuationSeparator" w:id="0">
    <w:p w:rsidR="00423D5B" w:rsidRDefault="00423D5B" w:rsidP="00DC6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7BA" w:rsidRDefault="00DA5FC6" w:rsidP="00DC6044">
    <w:pPr>
      <w:pStyle w:val="Cabealho"/>
      <w:pBdr>
        <w:bottom w:val="single" w:sz="4" w:space="12" w:color="auto"/>
      </w:pBdr>
      <w:jc w:val="center"/>
      <w:rPr>
        <w:noProof/>
        <w:snapToGrid/>
      </w:rPr>
    </w:pPr>
    <w:r>
      <w:rPr>
        <w:noProof/>
        <w:snapToGrid/>
      </w:rPr>
      <w:tab/>
    </w:r>
    <w:r>
      <w:rPr>
        <w:noProof/>
        <w:snapToGrid/>
      </w:rPr>
      <w:tab/>
    </w:r>
  </w:p>
  <w:p w:rsidR="00D42E60" w:rsidRDefault="00D42E60" w:rsidP="009257BA">
    <w:pPr>
      <w:pStyle w:val="Cabealho"/>
      <w:pBdr>
        <w:bottom w:val="single" w:sz="4" w:space="12" w:color="auto"/>
      </w:pBdr>
      <w:rPr>
        <w:noProof/>
        <w:snapToGrid/>
      </w:rPr>
    </w:pPr>
  </w:p>
  <w:p w:rsidR="00DA5FC6" w:rsidRPr="00C122B9" w:rsidRDefault="009257BA" w:rsidP="009257BA">
    <w:pPr>
      <w:pStyle w:val="Cabealho"/>
      <w:pBdr>
        <w:bottom w:val="single" w:sz="4" w:space="12" w:color="auto"/>
      </w:pBdr>
      <w:rPr>
        <w:noProof/>
        <w:snapToGrid/>
      </w:rPr>
    </w:pPr>
    <w:r w:rsidRPr="00C122B9">
      <w:rPr>
        <w:noProof/>
        <w:snapToGrid/>
      </w:rPr>
      <w:tab/>
    </w:r>
  </w:p>
  <w:p w:rsidR="00005EB3" w:rsidRPr="00C122B9" w:rsidRDefault="001F1F45" w:rsidP="00DC6044">
    <w:pPr>
      <w:pStyle w:val="Cabealho"/>
      <w:pBdr>
        <w:bottom w:val="single" w:sz="4" w:space="12" w:color="auto"/>
      </w:pBdr>
      <w:jc w:val="center"/>
      <w:rPr>
        <w:rFonts w:ascii="Arial" w:hAnsi="Arial" w:cs="Arial"/>
        <w:noProof/>
        <w:sz w:val="16"/>
        <w:szCs w:val="16"/>
        <w:lang w:eastAsia="zh-CN"/>
      </w:rPr>
    </w:pPr>
    <w:r w:rsidRPr="00C122B9">
      <w:rPr>
        <w:rFonts w:ascii="Arial" w:hAnsi="Arial" w:cs="Arial"/>
        <w:noProof/>
        <w:sz w:val="16"/>
        <w:szCs w:val="16"/>
        <w:lang w:eastAsia="zh-CN"/>
      </w:rPr>
      <w:t>ANEXO 10 AO CONTRATO DE INTERCON</w:t>
    </w:r>
    <w:r w:rsidR="00005EB3" w:rsidRPr="00C122B9">
      <w:rPr>
        <w:rFonts w:ascii="Arial" w:hAnsi="Arial" w:cs="Arial"/>
        <w:noProof/>
        <w:sz w:val="16"/>
        <w:szCs w:val="16"/>
        <w:lang w:eastAsia="zh-CN"/>
      </w:rPr>
      <w:t>EXÃO</w:t>
    </w:r>
  </w:p>
  <w:p w:rsidR="005820D8" w:rsidRPr="00C122B9" w:rsidRDefault="00C122B9" w:rsidP="00DC6044">
    <w:pPr>
      <w:pStyle w:val="Cabealho"/>
      <w:pBdr>
        <w:bottom w:val="single" w:sz="4" w:space="12" w:color="auto"/>
      </w:pBdr>
      <w:jc w:val="center"/>
      <w:rPr>
        <w:rFonts w:ascii="Arial" w:hAnsi="Arial" w:cs="Arial"/>
        <w:noProof/>
        <w:sz w:val="16"/>
        <w:szCs w:val="16"/>
        <w:lang w:eastAsia="zh-CN"/>
      </w:rPr>
    </w:pPr>
    <w:r w:rsidRPr="00C122B9">
      <w:rPr>
        <w:rFonts w:ascii="Arial" w:hAnsi="Arial" w:cs="Arial"/>
        <w:noProof/>
        <w:sz w:val="16"/>
        <w:szCs w:val="16"/>
        <w:lang w:eastAsia="zh-CN"/>
      </w:rPr>
      <w:t>PARA TRÁFEGO TELEFÔNICO ENTRE A ALGAR E TELE-XX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F16C9"/>
    <w:multiLevelType w:val="multilevel"/>
    <w:tmpl w:val="0B4A96CC"/>
    <w:lvl w:ilvl="0">
      <w:start w:val="1"/>
      <w:numFmt w:val="decimal"/>
      <w:suff w:val="space"/>
      <w:lvlText w:val="%1.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0666783"/>
    <w:multiLevelType w:val="multilevel"/>
    <w:tmpl w:val="FEC8F5F2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559"/>
        </w:tabs>
        <w:ind w:left="1559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693"/>
        </w:tabs>
        <w:ind w:left="2693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0"/>
        </w:tabs>
        <w:ind w:left="2550" w:hanging="708"/>
      </w:p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0"/>
        </w:tabs>
        <w:ind w:left="5382" w:hanging="708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2"/>
    </w:lvlOverride>
    <w:lvlOverride w:ilvl="1">
      <w:startOverride w:val="1"/>
    </w:lvlOverride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ys0QxruWDT8HwjtOBy0STn0tBcMR/7IAbquYFK5PYYxRCqSY0ILPnpK+dxA4ccNgNiduFR+CYlMTdCQsM1d8vg==" w:salt="X4RI6MunmKB0Y3+NtytRGg==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627"/>
    <w:rsid w:val="00005EB3"/>
    <w:rsid w:val="00053CF8"/>
    <w:rsid w:val="00064892"/>
    <w:rsid w:val="00072EAB"/>
    <w:rsid w:val="000876AB"/>
    <w:rsid w:val="00154CC4"/>
    <w:rsid w:val="001E726D"/>
    <w:rsid w:val="001F1F45"/>
    <w:rsid w:val="002B69A2"/>
    <w:rsid w:val="00324123"/>
    <w:rsid w:val="00365757"/>
    <w:rsid w:val="003727DB"/>
    <w:rsid w:val="003C1CA8"/>
    <w:rsid w:val="003D3581"/>
    <w:rsid w:val="00423D5B"/>
    <w:rsid w:val="004452AB"/>
    <w:rsid w:val="004B0241"/>
    <w:rsid w:val="004B520E"/>
    <w:rsid w:val="00580F0D"/>
    <w:rsid w:val="005820D8"/>
    <w:rsid w:val="006620DE"/>
    <w:rsid w:val="00712A38"/>
    <w:rsid w:val="00715C90"/>
    <w:rsid w:val="00724951"/>
    <w:rsid w:val="00743210"/>
    <w:rsid w:val="0074694A"/>
    <w:rsid w:val="00754377"/>
    <w:rsid w:val="0076347A"/>
    <w:rsid w:val="0077038B"/>
    <w:rsid w:val="007857B7"/>
    <w:rsid w:val="007C1D5D"/>
    <w:rsid w:val="007D06DF"/>
    <w:rsid w:val="007D386C"/>
    <w:rsid w:val="00816A49"/>
    <w:rsid w:val="00861627"/>
    <w:rsid w:val="00893B1F"/>
    <w:rsid w:val="00893E2A"/>
    <w:rsid w:val="009257BA"/>
    <w:rsid w:val="009269C8"/>
    <w:rsid w:val="009461EC"/>
    <w:rsid w:val="009949B7"/>
    <w:rsid w:val="009C732E"/>
    <w:rsid w:val="009F406D"/>
    <w:rsid w:val="00A81113"/>
    <w:rsid w:val="00B04DD5"/>
    <w:rsid w:val="00B55F72"/>
    <w:rsid w:val="00C122B9"/>
    <w:rsid w:val="00C2047A"/>
    <w:rsid w:val="00C71F82"/>
    <w:rsid w:val="00C7729D"/>
    <w:rsid w:val="00CD5551"/>
    <w:rsid w:val="00CF74A7"/>
    <w:rsid w:val="00D10C9B"/>
    <w:rsid w:val="00D42E60"/>
    <w:rsid w:val="00D64998"/>
    <w:rsid w:val="00DA5FC6"/>
    <w:rsid w:val="00DC6044"/>
    <w:rsid w:val="00DF4F95"/>
    <w:rsid w:val="00E31856"/>
    <w:rsid w:val="00EC3116"/>
    <w:rsid w:val="00ED7713"/>
    <w:rsid w:val="00F3485D"/>
    <w:rsid w:val="00F53423"/>
    <w:rsid w:val="00F83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1859D4F"/>
  <w15:docId w15:val="{825C4CA9-7E18-4F2C-9F3C-9EFF03B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1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861627"/>
    <w:pPr>
      <w:numPr>
        <w:numId w:val="1"/>
      </w:numPr>
      <w:spacing w:before="80" w:after="80"/>
      <w:jc w:val="both"/>
      <w:outlineLvl w:val="0"/>
    </w:pPr>
    <w:rPr>
      <w:rFonts w:ascii="Arial" w:hAnsi="Arial"/>
      <w:b/>
      <w:caps/>
      <w:snapToGrid w:val="0"/>
      <w:kern w:val="28"/>
      <w:sz w:val="22"/>
      <w:szCs w:val="20"/>
    </w:rPr>
  </w:style>
  <w:style w:type="paragraph" w:styleId="Ttulo2">
    <w:name w:val="heading 2"/>
    <w:aliases w:val="Item,PA Major Section,Überschrift 2.2 heading 2,l2,I2,heading 2,l2+toc 2,h2,2nd level,2,12,UNDERRUBRIK 1-2,Header 2,H2,Reset numbering"/>
    <w:basedOn w:val="Normal"/>
    <w:next w:val="Normal"/>
    <w:link w:val="Ttulo2Char"/>
    <w:qFormat/>
    <w:rsid w:val="00861627"/>
    <w:pPr>
      <w:numPr>
        <w:ilvl w:val="1"/>
        <w:numId w:val="1"/>
      </w:numPr>
      <w:spacing w:before="80" w:after="80"/>
      <w:jc w:val="both"/>
      <w:outlineLvl w:val="1"/>
    </w:pPr>
    <w:rPr>
      <w:rFonts w:ascii="Arial" w:hAnsi="Arial"/>
      <w:snapToGrid w:val="0"/>
      <w:sz w:val="22"/>
      <w:szCs w:val="20"/>
    </w:rPr>
  </w:style>
  <w:style w:type="paragraph" w:styleId="Ttulo3">
    <w:name w:val="heading 3"/>
    <w:basedOn w:val="Normal"/>
    <w:next w:val="Normal"/>
    <w:link w:val="Ttulo3Char"/>
    <w:qFormat/>
    <w:rsid w:val="00861627"/>
    <w:pPr>
      <w:numPr>
        <w:ilvl w:val="2"/>
        <w:numId w:val="1"/>
      </w:numPr>
      <w:spacing w:before="80" w:after="80"/>
      <w:jc w:val="both"/>
      <w:outlineLvl w:val="2"/>
    </w:pPr>
    <w:rPr>
      <w:rFonts w:ascii="Arial" w:hAnsi="Arial"/>
      <w:sz w:val="22"/>
      <w:szCs w:val="20"/>
    </w:rPr>
  </w:style>
  <w:style w:type="paragraph" w:styleId="Ttulo4">
    <w:name w:val="heading 4"/>
    <w:aliases w:val="h4,4"/>
    <w:basedOn w:val="Normal"/>
    <w:next w:val="Normal"/>
    <w:link w:val="Ttulo4Char"/>
    <w:qFormat/>
    <w:rsid w:val="00861627"/>
    <w:pPr>
      <w:numPr>
        <w:ilvl w:val="3"/>
        <w:numId w:val="1"/>
      </w:numPr>
      <w:spacing w:before="80" w:after="80"/>
      <w:jc w:val="both"/>
      <w:outlineLvl w:val="3"/>
    </w:pPr>
    <w:rPr>
      <w:rFonts w:ascii="Arial" w:hAnsi="Arial"/>
      <w:sz w:val="22"/>
      <w:szCs w:val="20"/>
    </w:rPr>
  </w:style>
  <w:style w:type="paragraph" w:styleId="Ttulo5">
    <w:name w:val="heading 5"/>
    <w:aliases w:val="h5"/>
    <w:basedOn w:val="Normal"/>
    <w:next w:val="Normal"/>
    <w:link w:val="Ttulo5Char"/>
    <w:qFormat/>
    <w:rsid w:val="00861627"/>
    <w:pPr>
      <w:numPr>
        <w:ilvl w:val="4"/>
        <w:numId w:val="1"/>
      </w:numPr>
      <w:spacing w:before="80" w:after="80"/>
      <w:outlineLvl w:val="4"/>
    </w:pPr>
    <w:rPr>
      <w:rFonts w:ascii="Arial" w:hAnsi="Arial"/>
      <w:sz w:val="22"/>
      <w:szCs w:val="20"/>
    </w:rPr>
  </w:style>
  <w:style w:type="paragraph" w:styleId="Ttulo6">
    <w:name w:val="heading 6"/>
    <w:basedOn w:val="Normal"/>
    <w:next w:val="Normal"/>
    <w:link w:val="Ttulo6Char"/>
    <w:qFormat/>
    <w:rsid w:val="00861627"/>
    <w:pPr>
      <w:numPr>
        <w:ilvl w:val="5"/>
        <w:numId w:val="1"/>
      </w:numPr>
      <w:spacing w:before="80" w:after="80"/>
      <w:jc w:val="both"/>
      <w:outlineLvl w:val="5"/>
    </w:pPr>
    <w:rPr>
      <w:rFonts w:ascii="Arial" w:hAnsi="Arial"/>
      <w:sz w:val="22"/>
      <w:szCs w:val="20"/>
    </w:rPr>
  </w:style>
  <w:style w:type="paragraph" w:styleId="Ttulo7">
    <w:name w:val="heading 7"/>
    <w:basedOn w:val="Normal"/>
    <w:next w:val="Normal"/>
    <w:link w:val="Ttulo7Char"/>
    <w:qFormat/>
    <w:rsid w:val="00861627"/>
    <w:pPr>
      <w:numPr>
        <w:ilvl w:val="6"/>
        <w:numId w:val="1"/>
      </w:numPr>
      <w:spacing w:before="80" w:after="80"/>
      <w:jc w:val="both"/>
      <w:outlineLvl w:val="6"/>
    </w:pPr>
    <w:rPr>
      <w:rFonts w:ascii="Arial" w:hAnsi="Arial"/>
      <w:sz w:val="22"/>
      <w:szCs w:val="20"/>
    </w:rPr>
  </w:style>
  <w:style w:type="paragraph" w:styleId="Ttulo8">
    <w:name w:val="heading 8"/>
    <w:basedOn w:val="Normal"/>
    <w:next w:val="Normal"/>
    <w:link w:val="Ttulo8Char"/>
    <w:qFormat/>
    <w:rsid w:val="00861627"/>
    <w:pPr>
      <w:numPr>
        <w:ilvl w:val="7"/>
        <w:numId w:val="1"/>
      </w:numPr>
      <w:spacing w:before="80" w:after="80"/>
      <w:jc w:val="both"/>
      <w:outlineLvl w:val="7"/>
    </w:pPr>
    <w:rPr>
      <w:rFonts w:ascii="Arial" w:hAnsi="Arial"/>
      <w:sz w:val="22"/>
      <w:szCs w:val="20"/>
    </w:rPr>
  </w:style>
  <w:style w:type="paragraph" w:styleId="Ttulo9">
    <w:name w:val="heading 9"/>
    <w:aliases w:val="tt,table title"/>
    <w:basedOn w:val="Normal"/>
    <w:next w:val="Normal"/>
    <w:link w:val="Ttulo9Char"/>
    <w:qFormat/>
    <w:rsid w:val="00861627"/>
    <w:pPr>
      <w:numPr>
        <w:ilvl w:val="8"/>
        <w:numId w:val="1"/>
      </w:numPr>
      <w:spacing w:before="80" w:after="80"/>
      <w:outlineLvl w:val="8"/>
    </w:pPr>
    <w:rPr>
      <w:rFonts w:ascii="Arial" w:hAnsi="Arial"/>
      <w:sz w:val="22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861627"/>
    <w:rPr>
      <w:rFonts w:ascii="Arial" w:eastAsia="Times New Roman" w:hAnsi="Arial" w:cs="Times New Roman"/>
      <w:b/>
      <w:caps/>
      <w:snapToGrid w:val="0"/>
      <w:kern w:val="28"/>
      <w:szCs w:val="20"/>
      <w:lang w:eastAsia="pt-BR"/>
    </w:rPr>
  </w:style>
  <w:style w:type="character" w:customStyle="1" w:styleId="Ttulo2Char">
    <w:name w:val="Título 2 Char"/>
    <w:aliases w:val="Item Char,PA Major Section Char,Überschrift 2.2 heading 2 Char,l2 Char,I2 Char,heading 2 Char,l2+toc 2 Char,h2 Char,2nd level Char,2 Char,12 Char,UNDERRUBRIK 1-2 Char,Header 2 Char,H2 Char,Reset numbering Char"/>
    <w:basedOn w:val="Fontepargpadro"/>
    <w:link w:val="Ttulo2"/>
    <w:rsid w:val="00861627"/>
    <w:rPr>
      <w:rFonts w:ascii="Arial" w:eastAsia="Times New Roman" w:hAnsi="Arial" w:cs="Times New Roman"/>
      <w:snapToGrid w:val="0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861627"/>
    <w:rPr>
      <w:rFonts w:ascii="Arial" w:eastAsia="Times New Roman" w:hAnsi="Arial" w:cs="Times New Roman"/>
      <w:szCs w:val="20"/>
      <w:lang w:eastAsia="pt-BR"/>
    </w:rPr>
  </w:style>
  <w:style w:type="character" w:customStyle="1" w:styleId="Ttulo4Char">
    <w:name w:val="Título 4 Char"/>
    <w:aliases w:val="h4 Char,4 Char"/>
    <w:basedOn w:val="Fontepargpadro"/>
    <w:link w:val="Ttulo4"/>
    <w:rsid w:val="00861627"/>
    <w:rPr>
      <w:rFonts w:ascii="Arial" w:eastAsia="Times New Roman" w:hAnsi="Arial" w:cs="Times New Roman"/>
      <w:szCs w:val="20"/>
      <w:lang w:eastAsia="pt-BR"/>
    </w:rPr>
  </w:style>
  <w:style w:type="character" w:customStyle="1" w:styleId="Ttulo5Char">
    <w:name w:val="Título 5 Char"/>
    <w:aliases w:val="h5 Char"/>
    <w:basedOn w:val="Fontepargpadro"/>
    <w:link w:val="Ttulo5"/>
    <w:rsid w:val="00861627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861627"/>
    <w:rPr>
      <w:rFonts w:ascii="Arial" w:eastAsia="Times New Roman" w:hAnsi="Arial" w:cs="Times New Roman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861627"/>
    <w:rPr>
      <w:rFonts w:ascii="Arial" w:eastAsia="Times New Roman" w:hAnsi="Arial" w:cs="Times New Roman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861627"/>
    <w:rPr>
      <w:rFonts w:ascii="Arial" w:eastAsia="Times New Roman" w:hAnsi="Arial" w:cs="Times New Roman"/>
      <w:szCs w:val="20"/>
      <w:lang w:eastAsia="pt-BR"/>
    </w:rPr>
  </w:style>
  <w:style w:type="character" w:customStyle="1" w:styleId="Ttulo9Char">
    <w:name w:val="Título 9 Char"/>
    <w:aliases w:val="tt Char,table title Char"/>
    <w:basedOn w:val="Fontepargpadro"/>
    <w:link w:val="Ttulo9"/>
    <w:rsid w:val="00861627"/>
    <w:rPr>
      <w:rFonts w:ascii="Arial" w:eastAsia="Times New Roman" w:hAnsi="Arial" w:cs="Times New Roman"/>
      <w:szCs w:val="20"/>
      <w:lang w:eastAsia="pt-BR"/>
    </w:rPr>
  </w:style>
  <w:style w:type="paragraph" w:styleId="Cabealho">
    <w:name w:val="header"/>
    <w:basedOn w:val="Normal"/>
    <w:link w:val="CabealhoChar"/>
    <w:rsid w:val="00861627"/>
    <w:pPr>
      <w:widowControl w:val="0"/>
      <w:tabs>
        <w:tab w:val="center" w:pos="4419"/>
        <w:tab w:val="right" w:pos="8838"/>
      </w:tabs>
    </w:pPr>
    <w:rPr>
      <w:snapToGrid w:val="0"/>
    </w:rPr>
  </w:style>
  <w:style w:type="character" w:customStyle="1" w:styleId="CabealhoChar">
    <w:name w:val="Cabeçalho Char"/>
    <w:basedOn w:val="Fontepargpadro"/>
    <w:link w:val="Cabealho"/>
    <w:rsid w:val="00861627"/>
    <w:rPr>
      <w:rFonts w:ascii="Times New Roman" w:eastAsia="Times New Roman" w:hAnsi="Times New Roman" w:cs="Times New Roman"/>
      <w:snapToGrid w:val="0"/>
      <w:sz w:val="24"/>
      <w:szCs w:val="24"/>
      <w:lang w:eastAsia="pt-BR"/>
    </w:rPr>
  </w:style>
  <w:style w:type="paragraph" w:styleId="Rodap">
    <w:name w:val="footer"/>
    <w:basedOn w:val="Normal"/>
    <w:link w:val="RodapChar"/>
    <w:rsid w:val="00861627"/>
    <w:pPr>
      <w:tabs>
        <w:tab w:val="center" w:pos="4419"/>
        <w:tab w:val="right" w:pos="8838"/>
      </w:tabs>
    </w:pPr>
    <w:rPr>
      <w:snapToGrid w:val="0"/>
    </w:rPr>
  </w:style>
  <w:style w:type="character" w:customStyle="1" w:styleId="RodapChar">
    <w:name w:val="Rodapé Char"/>
    <w:basedOn w:val="Fontepargpadro"/>
    <w:link w:val="Rodap"/>
    <w:rsid w:val="00861627"/>
    <w:rPr>
      <w:rFonts w:ascii="Times New Roman" w:eastAsia="Times New Roman" w:hAnsi="Times New Roman" w:cs="Times New Roman"/>
      <w:snapToGrid w:val="0"/>
      <w:sz w:val="24"/>
      <w:szCs w:val="24"/>
      <w:lang w:eastAsia="pt-BR"/>
    </w:rPr>
  </w:style>
  <w:style w:type="paragraph" w:styleId="Subttulo">
    <w:name w:val="Subtitle"/>
    <w:basedOn w:val="Normal"/>
    <w:link w:val="SubttuloChar"/>
    <w:qFormat/>
    <w:rsid w:val="00861627"/>
    <w:pPr>
      <w:keepLines/>
      <w:jc w:val="center"/>
    </w:pPr>
    <w:rPr>
      <w:b/>
    </w:rPr>
  </w:style>
  <w:style w:type="character" w:customStyle="1" w:styleId="SubttuloChar">
    <w:name w:val="Subtítulo Char"/>
    <w:basedOn w:val="Fontepargpadro"/>
    <w:link w:val="Subttulo"/>
    <w:rsid w:val="00861627"/>
    <w:rPr>
      <w:rFonts w:ascii="Times New Roman" w:eastAsia="Times New Roman" w:hAnsi="Times New Roman" w:cs="Times New Roman"/>
      <w:b/>
      <w:sz w:val="24"/>
      <w:szCs w:val="24"/>
      <w:lang w:eastAsia="pt-BR"/>
    </w:rPr>
  </w:style>
  <w:style w:type="paragraph" w:customStyle="1" w:styleId="Anexos">
    <w:name w:val="Anexos"/>
    <w:basedOn w:val="Normal"/>
    <w:rsid w:val="00365757"/>
    <w:pPr>
      <w:widowControl w:val="0"/>
      <w:jc w:val="both"/>
    </w:pPr>
    <w:rPr>
      <w:rFonts w:ascii="Arial" w:hAnsi="Arial"/>
      <w:snapToGrid w:val="0"/>
      <w:szCs w:val="20"/>
    </w:rPr>
  </w:style>
  <w:style w:type="paragraph" w:styleId="PargrafodaLista">
    <w:name w:val="List Paragraph"/>
    <w:basedOn w:val="Normal"/>
    <w:uiPriority w:val="34"/>
    <w:qFormat/>
    <w:rsid w:val="004B024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DA5FC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A5FC6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94904-34EC-499F-807E-A8EE16E3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409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Denise Ferreira</dc:creator>
  <cp:lastModifiedBy>Claudia Cristina Ribeiro Macedo</cp:lastModifiedBy>
  <cp:revision>13</cp:revision>
  <dcterms:created xsi:type="dcterms:W3CDTF">2015-04-14T14:29:00Z</dcterms:created>
  <dcterms:modified xsi:type="dcterms:W3CDTF">2019-09-25T17:49:00Z</dcterms:modified>
</cp:coreProperties>
</file>