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02C" w:rsidRPr="00130536" w:rsidRDefault="0022687E" w:rsidP="00177EC6">
      <w:pPr>
        <w:pStyle w:val="letrada3"/>
        <w:keepLines w:val="0"/>
        <w:tabs>
          <w:tab w:val="num" w:pos="0"/>
          <w:tab w:val="right" w:leader="underscore" w:pos="9072"/>
        </w:tabs>
        <w:spacing w:before="0" w:after="0" w:line="360" w:lineRule="auto"/>
        <w:jc w:val="center"/>
        <w:rPr>
          <w:rFonts w:cs="Arial"/>
          <w:b/>
          <w:sz w:val="24"/>
          <w:szCs w:val="24"/>
        </w:rPr>
      </w:pPr>
      <w:bookmarkStart w:id="0" w:name="_GoBack"/>
      <w:bookmarkEnd w:id="0"/>
      <w:r w:rsidRPr="00130536">
        <w:rPr>
          <w:rFonts w:cs="Arial"/>
          <w:b/>
          <w:sz w:val="24"/>
          <w:szCs w:val="24"/>
        </w:rPr>
        <w:t xml:space="preserve"> </w:t>
      </w:r>
    </w:p>
    <w:p w:rsidR="003924CA" w:rsidRPr="00130536" w:rsidRDefault="00255751" w:rsidP="00177EC6">
      <w:pPr>
        <w:pStyle w:val="letrada3"/>
        <w:keepLines w:val="0"/>
        <w:tabs>
          <w:tab w:val="num" w:pos="0"/>
          <w:tab w:val="right" w:leader="underscore" w:pos="9072"/>
        </w:tabs>
        <w:spacing w:before="0" w:after="0" w:line="360" w:lineRule="auto"/>
        <w:jc w:val="center"/>
        <w:rPr>
          <w:rFonts w:cs="Arial"/>
          <w:b/>
          <w:sz w:val="24"/>
          <w:szCs w:val="24"/>
        </w:rPr>
      </w:pPr>
      <w:r w:rsidRPr="00130536">
        <w:rPr>
          <w:rFonts w:cs="Arial"/>
          <w:b/>
          <w:sz w:val="24"/>
          <w:szCs w:val="24"/>
        </w:rPr>
        <w:t xml:space="preserve"> </w:t>
      </w:r>
      <w:r w:rsidR="003924CA" w:rsidRPr="00130536">
        <w:rPr>
          <w:rFonts w:cs="Arial"/>
          <w:b/>
          <w:sz w:val="24"/>
          <w:szCs w:val="24"/>
        </w:rPr>
        <w:t>ANEXO 6</w:t>
      </w:r>
    </w:p>
    <w:p w:rsidR="003924CA" w:rsidRPr="00130536" w:rsidRDefault="003924CA" w:rsidP="00177EC6">
      <w:pPr>
        <w:pStyle w:val="Anexos1"/>
        <w:numPr>
          <w:ilvl w:val="12"/>
          <w:numId w:val="0"/>
        </w:numPr>
        <w:outlineLvl w:val="0"/>
        <w:rPr>
          <w:rFonts w:cs="Arial"/>
          <w:sz w:val="24"/>
          <w:szCs w:val="24"/>
        </w:rPr>
      </w:pPr>
      <w:r w:rsidRPr="00130536">
        <w:rPr>
          <w:rFonts w:cs="Arial"/>
          <w:sz w:val="24"/>
          <w:szCs w:val="24"/>
        </w:rPr>
        <w:t>TESTES RELATIVOS À INTERCONEXÃO</w:t>
      </w:r>
    </w:p>
    <w:p w:rsidR="003924CA" w:rsidRPr="00130536" w:rsidRDefault="003924CA" w:rsidP="00177EC6">
      <w:pPr>
        <w:pStyle w:val="Anexos"/>
        <w:numPr>
          <w:ilvl w:val="12"/>
          <w:numId w:val="0"/>
        </w:numPr>
        <w:tabs>
          <w:tab w:val="left" w:pos="720"/>
        </w:tabs>
        <w:spacing w:line="360" w:lineRule="auto"/>
        <w:ind w:left="630" w:hanging="540"/>
        <w:rPr>
          <w:rFonts w:cs="Arial"/>
          <w:b/>
          <w:szCs w:val="24"/>
        </w:rPr>
      </w:pPr>
      <w:r w:rsidRPr="00130536">
        <w:rPr>
          <w:rFonts w:cs="Arial"/>
          <w:b/>
          <w:szCs w:val="24"/>
        </w:rPr>
        <w:t>1.</w:t>
      </w:r>
      <w:r w:rsidRPr="00130536">
        <w:rPr>
          <w:rFonts w:cs="Arial"/>
          <w:b/>
          <w:szCs w:val="24"/>
        </w:rPr>
        <w:tab/>
        <w:t>Condições Gerais</w:t>
      </w:r>
    </w:p>
    <w:p w:rsidR="003924CA" w:rsidRPr="00130536" w:rsidRDefault="003924CA" w:rsidP="00ED5A97">
      <w:pPr>
        <w:pStyle w:val="Anexos"/>
        <w:numPr>
          <w:ilvl w:val="1"/>
          <w:numId w:val="2"/>
        </w:numPr>
        <w:tabs>
          <w:tab w:val="clear" w:pos="1350"/>
          <w:tab w:val="left" w:pos="630"/>
        </w:tabs>
        <w:spacing w:line="360" w:lineRule="auto"/>
        <w:ind w:left="630" w:hanging="630"/>
        <w:rPr>
          <w:rFonts w:cs="Arial"/>
          <w:szCs w:val="24"/>
        </w:rPr>
      </w:pPr>
      <w:r w:rsidRPr="00130536">
        <w:rPr>
          <w:rFonts w:cs="Arial"/>
          <w:szCs w:val="24"/>
        </w:rPr>
        <w:t>As Partes acordam em executar, conjuntamente, os seguintes testes necessários à ativação de Interconexão:</w:t>
      </w:r>
    </w:p>
    <w:p w:rsidR="003924CA" w:rsidRPr="00130536" w:rsidRDefault="003924CA" w:rsidP="00177EC6">
      <w:pPr>
        <w:pStyle w:val="Anexos"/>
        <w:tabs>
          <w:tab w:val="left" w:pos="630"/>
        </w:tabs>
        <w:spacing w:line="360" w:lineRule="auto"/>
        <w:rPr>
          <w:rFonts w:cs="Arial"/>
          <w:szCs w:val="24"/>
        </w:rPr>
      </w:pPr>
    </w:p>
    <w:p w:rsidR="003924CA" w:rsidRPr="00130536" w:rsidRDefault="00536CA4" w:rsidP="00ED5A97">
      <w:pPr>
        <w:pStyle w:val="Anexos"/>
        <w:numPr>
          <w:ilvl w:val="0"/>
          <w:numId w:val="4"/>
        </w:numPr>
        <w:tabs>
          <w:tab w:val="left" w:pos="1350"/>
        </w:tabs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Testes de Transmissão: necessários para a ativação dos meios de transmissão, linhas dedicadas, que interconectam as redes;</w:t>
      </w:r>
    </w:p>
    <w:p w:rsidR="003924CA" w:rsidRPr="00130536" w:rsidRDefault="003924CA" w:rsidP="00177EC6">
      <w:pPr>
        <w:pStyle w:val="Anexos"/>
        <w:tabs>
          <w:tab w:val="left" w:pos="630"/>
        </w:tabs>
        <w:spacing w:line="360" w:lineRule="auto"/>
        <w:ind w:left="630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0"/>
          <w:numId w:val="5"/>
        </w:numPr>
        <w:tabs>
          <w:tab w:val="left" w:pos="1350"/>
        </w:tabs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Testes de Entroncamento e Sistema: após concluídos os testes de Transmissão, esses testes são realizados para a ativação definitiva de Interconexão;</w:t>
      </w:r>
    </w:p>
    <w:p w:rsidR="003924CA" w:rsidRPr="00130536" w:rsidRDefault="003924CA" w:rsidP="00177EC6">
      <w:pPr>
        <w:pStyle w:val="Anexos"/>
        <w:tabs>
          <w:tab w:val="left" w:pos="630"/>
        </w:tabs>
        <w:spacing w:line="360" w:lineRule="auto"/>
        <w:ind w:left="630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0"/>
          <w:numId w:val="5"/>
        </w:numPr>
        <w:tabs>
          <w:tab w:val="left" w:pos="1350"/>
        </w:tabs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Testes de Interoperabilidade: necessários para o caso de implantação de nova facilidade e/ou equipamento.</w:t>
      </w:r>
    </w:p>
    <w:p w:rsidR="003924CA" w:rsidRPr="00130536" w:rsidRDefault="003924CA" w:rsidP="00177EC6">
      <w:pPr>
        <w:pStyle w:val="Anexos"/>
        <w:tabs>
          <w:tab w:val="left" w:pos="630"/>
        </w:tabs>
        <w:spacing w:line="360" w:lineRule="auto"/>
        <w:rPr>
          <w:rFonts w:cs="Arial"/>
          <w:szCs w:val="24"/>
        </w:rPr>
      </w:pPr>
    </w:p>
    <w:p w:rsidR="003924CA" w:rsidRPr="00130536" w:rsidRDefault="00F019B6" w:rsidP="00177EC6">
      <w:pPr>
        <w:pStyle w:val="Anexos"/>
        <w:tabs>
          <w:tab w:val="left" w:pos="630"/>
        </w:tabs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1.1.1. Os</w:t>
      </w:r>
      <w:r w:rsidR="003924CA" w:rsidRPr="00130536">
        <w:rPr>
          <w:rFonts w:cs="Arial"/>
          <w:szCs w:val="24"/>
        </w:rPr>
        <w:t xml:space="preserve"> testes acima mencionados estão previstos no Apêndice A do presente Anexo.</w:t>
      </w:r>
    </w:p>
    <w:p w:rsidR="003924CA" w:rsidRPr="00130536" w:rsidRDefault="003924CA" w:rsidP="00177EC6">
      <w:pPr>
        <w:pStyle w:val="Anexos"/>
        <w:tabs>
          <w:tab w:val="left" w:pos="630"/>
        </w:tabs>
        <w:spacing w:line="360" w:lineRule="auto"/>
        <w:ind w:left="630" w:hanging="630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1"/>
          <w:numId w:val="3"/>
        </w:numPr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Após a conclusão, com êxito, dos testes as Partes assinarão, conjuntamente, os respectivos, Termos de Aceitação emitidos pela Parte Solicitada.</w:t>
      </w:r>
    </w:p>
    <w:p w:rsidR="003924CA" w:rsidRPr="00130536" w:rsidRDefault="003924CA" w:rsidP="00177EC6">
      <w:pPr>
        <w:pStyle w:val="Anexos"/>
        <w:spacing w:line="360" w:lineRule="auto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2"/>
          <w:numId w:val="3"/>
        </w:numPr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Ao Término dos testes mencionados no item 1.1 as Partes deverão assinar os respectivos Termos de Aceitação, sendo:</w:t>
      </w:r>
    </w:p>
    <w:p w:rsidR="003924CA" w:rsidRPr="00130536" w:rsidRDefault="003924CA" w:rsidP="00177EC6">
      <w:pPr>
        <w:pStyle w:val="Anexos"/>
        <w:spacing w:line="360" w:lineRule="auto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0"/>
          <w:numId w:val="6"/>
        </w:numPr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Termo de Aceitação de Meios de Transmissão (Linha Dedicada) – TA TX</w:t>
      </w:r>
    </w:p>
    <w:p w:rsidR="003924CA" w:rsidRPr="00130536" w:rsidRDefault="003924CA" w:rsidP="00177EC6">
      <w:pPr>
        <w:pStyle w:val="Anexos"/>
        <w:spacing w:line="360" w:lineRule="auto"/>
        <w:ind w:left="720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0"/>
          <w:numId w:val="6"/>
        </w:numPr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Termo de Aceitação de Interconexão – TA ITX</w:t>
      </w:r>
    </w:p>
    <w:p w:rsidR="003924CA" w:rsidRPr="00130536" w:rsidRDefault="003924CA" w:rsidP="00177EC6">
      <w:pPr>
        <w:pStyle w:val="Anexos"/>
        <w:spacing w:line="360" w:lineRule="auto"/>
        <w:ind w:left="720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0"/>
          <w:numId w:val="6"/>
        </w:numPr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Termo de Interoperabilidade – TA INT</w:t>
      </w:r>
    </w:p>
    <w:p w:rsidR="00E06F9A" w:rsidRPr="00130536" w:rsidRDefault="00E06F9A" w:rsidP="00177EC6">
      <w:pPr>
        <w:pStyle w:val="Anexos"/>
        <w:spacing w:line="360" w:lineRule="auto"/>
        <w:rPr>
          <w:rFonts w:cs="Arial"/>
          <w:szCs w:val="24"/>
        </w:rPr>
      </w:pPr>
    </w:p>
    <w:p w:rsidR="003924CA" w:rsidRPr="00130536" w:rsidRDefault="003924CA" w:rsidP="00ED5A97">
      <w:pPr>
        <w:pStyle w:val="Anexos"/>
        <w:numPr>
          <w:ilvl w:val="2"/>
          <w:numId w:val="3"/>
        </w:numPr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>Os Termos de Aceitação estão previstos no Apêndice B do presente Anexo.</w:t>
      </w:r>
    </w:p>
    <w:p w:rsidR="003924CA" w:rsidRPr="00130536" w:rsidRDefault="003924CA" w:rsidP="00ED5A97">
      <w:pPr>
        <w:pStyle w:val="Anexos"/>
        <w:numPr>
          <w:ilvl w:val="2"/>
          <w:numId w:val="3"/>
        </w:numPr>
        <w:spacing w:line="360" w:lineRule="auto"/>
        <w:rPr>
          <w:rFonts w:cs="Arial"/>
          <w:szCs w:val="24"/>
        </w:rPr>
      </w:pPr>
      <w:r w:rsidRPr="00130536">
        <w:rPr>
          <w:rFonts w:cs="Arial"/>
          <w:szCs w:val="24"/>
        </w:rPr>
        <w:t xml:space="preserve">As Partes definirão os responsáveis que terão autoridade para a assinatura </w:t>
      </w:r>
      <w:r w:rsidRPr="00130536">
        <w:rPr>
          <w:rFonts w:cs="Arial"/>
          <w:szCs w:val="24"/>
        </w:rPr>
        <w:lastRenderedPageBreak/>
        <w:t>desses Termos.</w:t>
      </w:r>
    </w:p>
    <w:p w:rsidR="003924CA" w:rsidRPr="00130536" w:rsidRDefault="00E0322A" w:rsidP="00177EC6">
      <w:pPr>
        <w:pStyle w:val="Anexos"/>
        <w:tabs>
          <w:tab w:val="left" w:pos="630"/>
        </w:tabs>
        <w:spacing w:line="360" w:lineRule="auto"/>
        <w:ind w:left="630" w:hanging="630"/>
        <w:rPr>
          <w:rFonts w:cs="Arial"/>
          <w:szCs w:val="24"/>
        </w:rPr>
      </w:pPr>
      <w:r w:rsidRPr="00130536">
        <w:rPr>
          <w:rFonts w:cs="Arial"/>
          <w:szCs w:val="24"/>
        </w:rPr>
        <w:t>1.3</w:t>
      </w:r>
      <w:r w:rsidRPr="00130536">
        <w:rPr>
          <w:rFonts w:cs="Arial"/>
          <w:szCs w:val="24"/>
        </w:rPr>
        <w:tab/>
        <w:t>A ativação comercial, somente, será considerada a partir da data de assinatura do respectivo, Termo de Aceitação, a qual não deverá ser retardada sem motivo justo.</w:t>
      </w:r>
    </w:p>
    <w:p w:rsidR="003924CA" w:rsidRPr="00130536" w:rsidRDefault="003924CA" w:rsidP="00177EC6">
      <w:pPr>
        <w:pStyle w:val="Anexos"/>
        <w:numPr>
          <w:ilvl w:val="12"/>
          <w:numId w:val="0"/>
        </w:numPr>
        <w:tabs>
          <w:tab w:val="left" w:pos="630"/>
        </w:tabs>
        <w:spacing w:line="360" w:lineRule="auto"/>
        <w:ind w:left="630" w:hanging="630"/>
        <w:rPr>
          <w:rFonts w:cs="Arial"/>
          <w:szCs w:val="24"/>
        </w:rPr>
      </w:pPr>
    </w:p>
    <w:p w:rsidR="003924CA" w:rsidRPr="00130536" w:rsidRDefault="00F019B6" w:rsidP="00177EC6">
      <w:pPr>
        <w:pStyle w:val="Anexos"/>
        <w:tabs>
          <w:tab w:val="left" w:pos="630"/>
        </w:tabs>
        <w:spacing w:line="360" w:lineRule="auto"/>
        <w:ind w:left="630" w:hanging="630"/>
        <w:rPr>
          <w:rFonts w:cs="Arial"/>
          <w:szCs w:val="24"/>
        </w:rPr>
      </w:pPr>
      <w:r w:rsidRPr="00130536">
        <w:rPr>
          <w:rFonts w:cs="Arial"/>
          <w:szCs w:val="24"/>
        </w:rPr>
        <w:t>1.4. Se</w:t>
      </w:r>
      <w:r w:rsidR="003924CA" w:rsidRPr="00130536">
        <w:rPr>
          <w:rFonts w:cs="Arial"/>
          <w:szCs w:val="24"/>
        </w:rPr>
        <w:t xml:space="preserve"> o resultado dos testes demonstrar a impossibilidade de ativar os circuitos de Interconexão, as Partes trabalharão, conjuntamente, para identificar e corrigir as causas desta situação.</w:t>
      </w:r>
    </w:p>
    <w:p w:rsidR="003924CA" w:rsidRPr="00130536" w:rsidRDefault="003924CA" w:rsidP="00177EC6">
      <w:pPr>
        <w:pStyle w:val="Anexos"/>
        <w:tabs>
          <w:tab w:val="left" w:pos="630"/>
        </w:tabs>
        <w:spacing w:line="360" w:lineRule="auto"/>
        <w:ind w:left="630" w:hanging="630"/>
        <w:rPr>
          <w:rFonts w:cs="Arial"/>
          <w:szCs w:val="24"/>
        </w:rPr>
      </w:pPr>
    </w:p>
    <w:p w:rsidR="003924CA" w:rsidRPr="00130536" w:rsidRDefault="00F019B6" w:rsidP="00177EC6">
      <w:pPr>
        <w:pStyle w:val="Anexos"/>
        <w:tabs>
          <w:tab w:val="left" w:pos="630"/>
          <w:tab w:val="left" w:pos="900"/>
        </w:tabs>
        <w:spacing w:line="360" w:lineRule="auto"/>
        <w:ind w:left="630" w:hanging="630"/>
        <w:rPr>
          <w:rFonts w:cs="Arial"/>
          <w:szCs w:val="24"/>
        </w:rPr>
      </w:pPr>
      <w:r w:rsidRPr="00130536">
        <w:rPr>
          <w:rFonts w:cs="Arial"/>
          <w:szCs w:val="24"/>
        </w:rPr>
        <w:t>1.5. Se</w:t>
      </w:r>
      <w:r w:rsidR="003924CA" w:rsidRPr="00130536">
        <w:rPr>
          <w:rFonts w:cs="Arial"/>
          <w:szCs w:val="24"/>
        </w:rPr>
        <w:t xml:space="preserve"> as dificuldades não puderem ser, imediatamente, solucionadas, as Partes determinarão, conjuntamente, uma nova data de ativação dos circuitos para Interconexão.</w:t>
      </w:r>
    </w:p>
    <w:p w:rsidR="003924CA" w:rsidRPr="00130536" w:rsidRDefault="003924CA" w:rsidP="00177EC6">
      <w:pPr>
        <w:pStyle w:val="Anexos"/>
        <w:numPr>
          <w:ilvl w:val="12"/>
          <w:numId w:val="0"/>
        </w:numPr>
        <w:tabs>
          <w:tab w:val="left" w:pos="284"/>
          <w:tab w:val="left" w:pos="630"/>
        </w:tabs>
        <w:spacing w:line="360" w:lineRule="auto"/>
        <w:ind w:left="630" w:hanging="630"/>
        <w:rPr>
          <w:rFonts w:cs="Arial"/>
          <w:szCs w:val="24"/>
        </w:rPr>
      </w:pPr>
    </w:p>
    <w:p w:rsidR="003924CA" w:rsidRPr="00130536" w:rsidRDefault="003924CA" w:rsidP="00177EC6">
      <w:pPr>
        <w:pStyle w:val="Anexos"/>
        <w:numPr>
          <w:ilvl w:val="12"/>
          <w:numId w:val="0"/>
        </w:numPr>
        <w:tabs>
          <w:tab w:val="left" w:pos="630"/>
        </w:tabs>
        <w:spacing w:line="360" w:lineRule="auto"/>
        <w:ind w:left="630" w:hanging="630"/>
        <w:rPr>
          <w:rFonts w:cs="Arial"/>
          <w:b/>
          <w:szCs w:val="24"/>
        </w:rPr>
      </w:pPr>
      <w:r w:rsidRPr="00130536">
        <w:rPr>
          <w:rFonts w:cs="Arial"/>
          <w:szCs w:val="24"/>
        </w:rPr>
        <w:t>1.6</w:t>
      </w:r>
      <w:r w:rsidRPr="00130536">
        <w:rPr>
          <w:rFonts w:cs="Arial"/>
          <w:szCs w:val="24"/>
        </w:rPr>
        <w:tab/>
        <w:t>As Partes acordam em revisar, conjuntamente, os procedimentos de testes de instalação e aceitação, definidos no Apêndice A, a qualquer momento durante a vigência do presente Contrato.</w:t>
      </w:r>
    </w:p>
    <w:p w:rsidR="003924CA" w:rsidRPr="00130536" w:rsidRDefault="003924CA" w:rsidP="00DB5A57">
      <w:pPr>
        <w:pStyle w:val="Anexos1"/>
        <w:numPr>
          <w:ilvl w:val="12"/>
          <w:numId w:val="0"/>
        </w:numPr>
        <w:jc w:val="left"/>
        <w:outlineLvl w:val="0"/>
        <w:rPr>
          <w:rFonts w:cs="Arial"/>
          <w:sz w:val="24"/>
          <w:szCs w:val="24"/>
        </w:rPr>
      </w:pPr>
    </w:p>
    <w:sectPr w:rsidR="003924CA" w:rsidRPr="00130536" w:rsidSect="00B229FD">
      <w:headerReference w:type="default" r:id="rId7"/>
      <w:footerReference w:type="default" r:id="rId8"/>
      <w:pgSz w:w="11907" w:h="16840" w:code="9"/>
      <w:pgMar w:top="1701" w:right="1134" w:bottom="1134" w:left="1701" w:header="284" w:footer="11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307" w:rsidRDefault="00C93307">
      <w:r>
        <w:separator/>
      </w:r>
    </w:p>
  </w:endnote>
  <w:endnote w:type="continuationSeparator" w:id="0">
    <w:p w:rsidR="00C93307" w:rsidRDefault="00C93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A57" w:rsidRPr="00130536" w:rsidRDefault="00DB5A57">
    <w:pPr>
      <w:pStyle w:val="Rodap"/>
      <w:jc w:val="center"/>
      <w:rPr>
        <w:rFonts w:cs="Arial"/>
        <w:szCs w:val="18"/>
      </w:rPr>
    </w:pPr>
    <w:r w:rsidRPr="00130536">
      <w:rPr>
        <w:rFonts w:cs="Arial"/>
        <w:szCs w:val="18"/>
      </w:rPr>
      <w:t xml:space="preserve">Página </w:t>
    </w:r>
    <w:r w:rsidRPr="00130536">
      <w:rPr>
        <w:rFonts w:cs="Arial"/>
        <w:bCs/>
        <w:szCs w:val="18"/>
      </w:rPr>
      <w:fldChar w:fldCharType="begin"/>
    </w:r>
    <w:r w:rsidRPr="00130536">
      <w:rPr>
        <w:rFonts w:cs="Arial"/>
        <w:bCs/>
        <w:szCs w:val="18"/>
      </w:rPr>
      <w:instrText>PAGE</w:instrText>
    </w:r>
    <w:r w:rsidRPr="00130536">
      <w:rPr>
        <w:rFonts w:cs="Arial"/>
        <w:bCs/>
        <w:szCs w:val="18"/>
      </w:rPr>
      <w:fldChar w:fldCharType="separate"/>
    </w:r>
    <w:r w:rsidR="001D30C1">
      <w:rPr>
        <w:rFonts w:cs="Arial"/>
        <w:bCs/>
        <w:noProof/>
        <w:szCs w:val="18"/>
      </w:rPr>
      <w:t>1</w:t>
    </w:r>
    <w:r w:rsidRPr="00130536">
      <w:rPr>
        <w:rFonts w:cs="Arial"/>
        <w:bCs/>
        <w:szCs w:val="18"/>
      </w:rPr>
      <w:fldChar w:fldCharType="end"/>
    </w:r>
    <w:r w:rsidRPr="00130536">
      <w:rPr>
        <w:rFonts w:cs="Arial"/>
        <w:szCs w:val="18"/>
      </w:rPr>
      <w:t xml:space="preserve"> de </w:t>
    </w:r>
    <w:r w:rsidRPr="00130536">
      <w:rPr>
        <w:rFonts w:cs="Arial"/>
        <w:bCs/>
        <w:szCs w:val="18"/>
      </w:rPr>
      <w:fldChar w:fldCharType="begin"/>
    </w:r>
    <w:r w:rsidRPr="00130536">
      <w:rPr>
        <w:rFonts w:cs="Arial"/>
        <w:bCs/>
        <w:szCs w:val="18"/>
      </w:rPr>
      <w:instrText>NUMPAGES</w:instrText>
    </w:r>
    <w:r w:rsidRPr="00130536">
      <w:rPr>
        <w:rFonts w:cs="Arial"/>
        <w:bCs/>
        <w:szCs w:val="18"/>
      </w:rPr>
      <w:fldChar w:fldCharType="separate"/>
    </w:r>
    <w:r w:rsidR="001D30C1">
      <w:rPr>
        <w:rFonts w:cs="Arial"/>
        <w:bCs/>
        <w:noProof/>
        <w:szCs w:val="18"/>
      </w:rPr>
      <w:t>2</w:t>
    </w:r>
    <w:r w:rsidRPr="00130536">
      <w:rPr>
        <w:rFonts w:cs="Arial"/>
        <w:bCs/>
        <w:szCs w:val="18"/>
      </w:rPr>
      <w:fldChar w:fldCharType="end"/>
    </w:r>
  </w:p>
  <w:p w:rsidR="00DB5A57" w:rsidRDefault="00B229FD">
    <w:pPr>
      <w:pStyle w:val="Rodap"/>
      <w:rPr>
        <w:noProof/>
        <w:snapToGrid w:val="0"/>
        <w:sz w:val="16"/>
      </w:rPr>
    </w:pPr>
    <w:r>
      <w:tab/>
    </w:r>
    <w:r>
      <w:tab/>
    </w:r>
  </w:p>
  <w:p w:rsidR="00774533" w:rsidRDefault="00774533">
    <w:pPr>
      <w:pStyle w:val="Rodap"/>
      <w:rPr>
        <w:noProof/>
        <w:snapToGrid w:val="0"/>
        <w:sz w:val="16"/>
      </w:rPr>
    </w:pPr>
  </w:p>
  <w:p w:rsidR="00774533" w:rsidRDefault="00774533">
    <w:pPr>
      <w:pStyle w:val="Rodap"/>
      <w:rPr>
        <w:noProof/>
        <w:snapToGrid w:val="0"/>
        <w:sz w:val="16"/>
      </w:rPr>
    </w:pPr>
  </w:p>
  <w:p w:rsidR="00774533" w:rsidRDefault="00774533">
    <w:pPr>
      <w:pStyle w:val="Rodap"/>
      <w:rPr>
        <w:noProof/>
        <w:snapToGrid w:val="0"/>
        <w:sz w:val="16"/>
      </w:rPr>
    </w:pPr>
  </w:p>
  <w:p w:rsidR="00774533" w:rsidRDefault="0077453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307" w:rsidRDefault="00C93307">
      <w:r>
        <w:separator/>
      </w:r>
    </w:p>
  </w:footnote>
  <w:footnote w:type="continuationSeparator" w:id="0">
    <w:p w:rsidR="00C93307" w:rsidRDefault="00C933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536" w:rsidRDefault="00B229FD" w:rsidP="00835136">
    <w:pPr>
      <w:pStyle w:val="Cabealho"/>
      <w:pBdr>
        <w:bottom w:val="single" w:sz="4" w:space="1" w:color="auto"/>
      </w:pBdr>
      <w:rPr>
        <w:rFonts w:ascii="Arial" w:hAnsi="Arial"/>
        <w:sz w:val="16"/>
        <w:lang w:val="pt-BR"/>
      </w:rPr>
    </w:pPr>
    <w:r>
      <w:rPr>
        <w:rFonts w:ascii="Arial" w:hAnsi="Arial"/>
        <w:sz w:val="16"/>
        <w:lang w:val="pt-BR"/>
      </w:rPr>
      <w:tab/>
    </w:r>
  </w:p>
  <w:p w:rsidR="000B2AA5" w:rsidRDefault="000B2AA5" w:rsidP="00835136">
    <w:pPr>
      <w:pStyle w:val="Cabealho"/>
      <w:pBdr>
        <w:bottom w:val="single" w:sz="4" w:space="1" w:color="auto"/>
      </w:pBdr>
      <w:rPr>
        <w:noProof/>
        <w:snapToGrid/>
        <w:lang w:val="pt-BR"/>
      </w:rPr>
    </w:pPr>
  </w:p>
  <w:p w:rsidR="00404249" w:rsidRDefault="00B229FD" w:rsidP="00835136">
    <w:pPr>
      <w:pStyle w:val="Cabealho"/>
      <w:pBdr>
        <w:bottom w:val="single" w:sz="4" w:space="1" w:color="auto"/>
      </w:pBdr>
      <w:rPr>
        <w:rFonts w:ascii="Arial" w:hAnsi="Arial"/>
        <w:sz w:val="16"/>
        <w:lang w:val="pt-BR"/>
      </w:rPr>
    </w:pPr>
    <w:r>
      <w:rPr>
        <w:rFonts w:ascii="Arial" w:hAnsi="Arial"/>
        <w:sz w:val="16"/>
        <w:lang w:val="pt-BR"/>
      </w:rPr>
      <w:tab/>
    </w:r>
  </w:p>
  <w:p w:rsidR="00404249" w:rsidRPr="00130536" w:rsidRDefault="00DB5A57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  <w:lang w:val="pt-BR"/>
      </w:rPr>
    </w:pPr>
    <w:r w:rsidRPr="00130536">
      <w:rPr>
        <w:rFonts w:ascii="Times New Roman" w:hAnsi="Times New Roman"/>
        <w:sz w:val="16"/>
        <w:lang w:val="pt-BR"/>
      </w:rPr>
      <w:t>A</w:t>
    </w:r>
    <w:r w:rsidR="00404249" w:rsidRPr="00130536">
      <w:rPr>
        <w:rFonts w:ascii="Times New Roman" w:hAnsi="Times New Roman"/>
        <w:sz w:val="16"/>
        <w:lang w:val="pt-BR"/>
      </w:rPr>
      <w:t xml:space="preserve">NEXO 6 AO CONTRATO DE INTERCONEXÃO </w:t>
    </w:r>
  </w:p>
  <w:p w:rsidR="00404249" w:rsidRPr="00130536" w:rsidRDefault="00130536" w:rsidP="00130536">
    <w:pPr>
      <w:pStyle w:val="Cabealho"/>
      <w:pBdr>
        <w:bottom w:val="single" w:sz="4" w:space="1" w:color="auto"/>
      </w:pBdr>
      <w:jc w:val="center"/>
      <w:rPr>
        <w:rFonts w:ascii="Times New Roman" w:hAnsi="Times New Roman"/>
        <w:sz w:val="16"/>
        <w:lang w:val="pt-BR"/>
      </w:rPr>
    </w:pPr>
    <w:r w:rsidRPr="00130536">
      <w:rPr>
        <w:rFonts w:ascii="Times New Roman" w:hAnsi="Times New Roman"/>
        <w:sz w:val="16"/>
        <w:lang w:val="pt-BR"/>
      </w:rPr>
      <w:t>PARA TRÁFEGO TELEFÔNICO ENTRE A ALGAR E TELE-XX</w:t>
    </w:r>
  </w:p>
  <w:p w:rsidR="00130536" w:rsidRDefault="00130536" w:rsidP="00130536">
    <w:pPr>
      <w:pStyle w:val="Cabealho"/>
      <w:pBdr>
        <w:bottom w:val="single" w:sz="4" w:space="1" w:color="auto"/>
      </w:pBdr>
      <w:jc w:val="center"/>
      <w:rPr>
        <w:rFonts w:ascii="Times New Roman" w:hAnsi="Times New Roman"/>
        <w:color w:val="FF0000"/>
        <w:sz w:val="16"/>
        <w:lang w:val="pt-BR"/>
      </w:rPr>
    </w:pPr>
  </w:p>
  <w:p w:rsidR="00130536" w:rsidRPr="00F019B6" w:rsidRDefault="00130536" w:rsidP="00130536">
    <w:pPr>
      <w:pStyle w:val="Cabealho"/>
      <w:pBdr>
        <w:bottom w:val="single" w:sz="4" w:space="1" w:color="auto"/>
      </w:pBdr>
      <w:jc w:val="center"/>
      <w:rPr>
        <w:rFonts w:ascii="Arial" w:hAnsi="Arial"/>
        <w:color w:val="FF0000"/>
        <w:sz w:val="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17646"/>
    <w:multiLevelType w:val="multilevel"/>
    <w:tmpl w:val="4ABC96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" w15:restartNumberingAfterBreak="0">
    <w:nsid w:val="0AC42E7A"/>
    <w:multiLevelType w:val="multilevel"/>
    <w:tmpl w:val="760400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4D635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8092E2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AE4B7F"/>
    <w:multiLevelType w:val="multilevel"/>
    <w:tmpl w:val="0F88239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6" w15:restartNumberingAfterBreak="0">
    <w:nsid w:val="403210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DE76AF4"/>
    <w:multiLevelType w:val="multilevel"/>
    <w:tmpl w:val="BA8AEB6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p0QoB4Ny7WLpDJF0TcbhsZ5USjhM3Q/qsQCBMFtG4zYwxvQSdAsLOAGj1ffqHmioAUB+QELp/1qvKxUjcAp+Tw==" w:salt="+ORNtyWGxMi17w2oDhmoG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54"/>
    <w:rsid w:val="00016B8C"/>
    <w:rsid w:val="00036751"/>
    <w:rsid w:val="000B2AA5"/>
    <w:rsid w:val="00130536"/>
    <w:rsid w:val="00152F75"/>
    <w:rsid w:val="00162D3E"/>
    <w:rsid w:val="0016531C"/>
    <w:rsid w:val="00177EC6"/>
    <w:rsid w:val="0018487E"/>
    <w:rsid w:val="001D30C1"/>
    <w:rsid w:val="001E3F54"/>
    <w:rsid w:val="0020390F"/>
    <w:rsid w:val="0022687E"/>
    <w:rsid w:val="00255751"/>
    <w:rsid w:val="00266CF1"/>
    <w:rsid w:val="002C3643"/>
    <w:rsid w:val="00335485"/>
    <w:rsid w:val="00360F2D"/>
    <w:rsid w:val="003924CA"/>
    <w:rsid w:val="003A7619"/>
    <w:rsid w:val="003E642B"/>
    <w:rsid w:val="00404249"/>
    <w:rsid w:val="0047772F"/>
    <w:rsid w:val="00492E92"/>
    <w:rsid w:val="004A56C1"/>
    <w:rsid w:val="004E395B"/>
    <w:rsid w:val="0050430B"/>
    <w:rsid w:val="00504EDF"/>
    <w:rsid w:val="00536CA4"/>
    <w:rsid w:val="0054648F"/>
    <w:rsid w:val="005F47DD"/>
    <w:rsid w:val="00600E99"/>
    <w:rsid w:val="00630999"/>
    <w:rsid w:val="00654C97"/>
    <w:rsid w:val="006F20B3"/>
    <w:rsid w:val="00742F64"/>
    <w:rsid w:val="00774533"/>
    <w:rsid w:val="00792D92"/>
    <w:rsid w:val="008003CB"/>
    <w:rsid w:val="00810A93"/>
    <w:rsid w:val="008263D7"/>
    <w:rsid w:val="00835136"/>
    <w:rsid w:val="0084721F"/>
    <w:rsid w:val="00854175"/>
    <w:rsid w:val="00862747"/>
    <w:rsid w:val="008A6750"/>
    <w:rsid w:val="008C18C0"/>
    <w:rsid w:val="008C21C4"/>
    <w:rsid w:val="008E46BF"/>
    <w:rsid w:val="00911BDE"/>
    <w:rsid w:val="009C0E89"/>
    <w:rsid w:val="00A124D7"/>
    <w:rsid w:val="00A1718A"/>
    <w:rsid w:val="00A329BD"/>
    <w:rsid w:val="00A67895"/>
    <w:rsid w:val="00A77489"/>
    <w:rsid w:val="00A9097B"/>
    <w:rsid w:val="00AA2191"/>
    <w:rsid w:val="00AE397C"/>
    <w:rsid w:val="00B03C49"/>
    <w:rsid w:val="00B22472"/>
    <w:rsid w:val="00B229FD"/>
    <w:rsid w:val="00BB387A"/>
    <w:rsid w:val="00C35ECF"/>
    <w:rsid w:val="00C6125A"/>
    <w:rsid w:val="00C9288D"/>
    <w:rsid w:val="00C93307"/>
    <w:rsid w:val="00D63C6F"/>
    <w:rsid w:val="00D70FC7"/>
    <w:rsid w:val="00D95708"/>
    <w:rsid w:val="00DB5A57"/>
    <w:rsid w:val="00DE5786"/>
    <w:rsid w:val="00E0322A"/>
    <w:rsid w:val="00E06F9A"/>
    <w:rsid w:val="00E24504"/>
    <w:rsid w:val="00E65BFA"/>
    <w:rsid w:val="00ED5A97"/>
    <w:rsid w:val="00ED65CF"/>
    <w:rsid w:val="00EE354A"/>
    <w:rsid w:val="00EF7825"/>
    <w:rsid w:val="00F019B6"/>
    <w:rsid w:val="00F1502C"/>
    <w:rsid w:val="00FB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93E5C61A-66FC-4E5E-B82E-0760F6C21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napToGrid w:val="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customStyle="1" w:styleId="CentralizadoSombra">
    <w:name w:val="Centralizado Sombra"/>
    <w:basedOn w:val="Normal"/>
    <w:next w:val="Normal"/>
    <w:pPr>
      <w:shd w:val="pct10" w:color="auto" w:fill="FFFFFF"/>
      <w:spacing w:before="120" w:after="120"/>
      <w:jc w:val="center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Textodebalo">
    <w:name w:val="Balloon Text"/>
    <w:basedOn w:val="Normal"/>
    <w:semiHidden/>
    <w:rsid w:val="001E3F54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B5A57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6</vt:lpstr>
    </vt:vector>
  </TitlesOfParts>
  <Company>Telefônica</Company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</dc:title>
  <dc:creator>Mário Poehlmann</dc:creator>
  <cp:lastModifiedBy>Claudia Cristina Ribeiro Macedo</cp:lastModifiedBy>
  <cp:revision>17</cp:revision>
  <cp:lastPrinted>2021-04-01T18:28:00Z</cp:lastPrinted>
  <dcterms:created xsi:type="dcterms:W3CDTF">2015-04-14T14:28:00Z</dcterms:created>
  <dcterms:modified xsi:type="dcterms:W3CDTF">2021-04-01T18:29:00Z</dcterms:modified>
</cp:coreProperties>
</file>